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小标宋_GBK" w:hAnsi="方正小标宋_GBK" w:eastAsia="方正小标宋_GBK" w:cs="方正小标宋_GBK"/>
          <w:sz w:val="30"/>
          <w:szCs w:val="3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en-US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清单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1          曲靖市麒麟区行政审批局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en-US"/>
        </w:rPr>
        <w:t>行政执法公示事项清单</w:t>
      </w:r>
    </w:p>
    <w:tbl>
      <w:tblPr>
        <w:tblStyle w:val="6"/>
        <w:tblW w:w="144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270"/>
        <w:gridCol w:w="1211"/>
        <w:gridCol w:w="1223"/>
        <w:gridCol w:w="2579"/>
        <w:gridCol w:w="2614"/>
        <w:gridCol w:w="1293"/>
        <w:gridCol w:w="3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53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b/>
                <w:bCs/>
                <w:sz w:val="24"/>
                <w:lang w:eastAsia="en-US"/>
              </w:rPr>
              <w:t>序号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b/>
                <w:bCs/>
                <w:sz w:val="24"/>
                <w:lang w:eastAsia="en-US"/>
              </w:rPr>
              <w:t>公示环节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b/>
                <w:bCs/>
                <w:sz w:val="24"/>
                <w:lang w:eastAsia="en-US"/>
              </w:rPr>
              <w:t>公示事项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b/>
                <w:bCs/>
                <w:sz w:val="24"/>
                <w:lang w:eastAsia="en-US"/>
              </w:rPr>
              <w:t>公示主体</w:t>
            </w:r>
          </w:p>
        </w:tc>
        <w:tc>
          <w:tcPr>
            <w:tcW w:w="2579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b/>
                <w:bCs/>
                <w:sz w:val="24"/>
                <w:lang w:eastAsia="en-US"/>
              </w:rPr>
              <w:t>公示内容</w:t>
            </w:r>
          </w:p>
        </w:tc>
        <w:tc>
          <w:tcPr>
            <w:tcW w:w="2614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b/>
                <w:bCs/>
                <w:sz w:val="24"/>
                <w:lang w:eastAsia="en-US"/>
              </w:rPr>
              <w:t>公示途径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b/>
                <w:bCs/>
                <w:sz w:val="24"/>
                <w:lang w:eastAsia="en-US"/>
              </w:rPr>
              <w:t>公示对象</w:t>
            </w:r>
          </w:p>
        </w:tc>
        <w:tc>
          <w:tcPr>
            <w:tcW w:w="3515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b/>
                <w:bCs/>
                <w:sz w:val="24"/>
                <w:lang w:eastAsia="en-US"/>
              </w:rPr>
              <w:t>公示期限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sz w:val="24"/>
                <w:lang w:eastAsia="en-US"/>
              </w:rPr>
            </w:pPr>
            <w:r>
              <w:rPr>
                <w:sz w:val="21"/>
                <w:lang w:eastAsia="en-US"/>
              </w:rPr>
              <w:t>事前公开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sz w:val="24"/>
                <w:lang w:eastAsia="en-US"/>
              </w:rPr>
            </w:pPr>
            <w:r>
              <w:rPr>
                <w:sz w:val="21"/>
                <w:lang w:eastAsia="en-US"/>
              </w:rPr>
              <w:t>执法主体及主要职责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sz w:val="24"/>
                <w:lang w:eastAsia="en-US"/>
              </w:rPr>
            </w:pPr>
            <w:r>
              <w:rPr>
                <w:rFonts w:hint="eastAsia"/>
                <w:sz w:val="21"/>
                <w:lang w:val="en-US" w:eastAsia="zh-CN"/>
              </w:rPr>
              <w:t>麒麟区行政审批</w:t>
            </w:r>
            <w:r>
              <w:rPr>
                <w:sz w:val="21"/>
                <w:lang w:eastAsia="en-US"/>
              </w:rPr>
              <w:t>局</w:t>
            </w:r>
          </w:p>
        </w:tc>
        <w:tc>
          <w:tcPr>
            <w:tcW w:w="2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1.麒麟区政务服务管理局为麒麟区行政审批局的前身，于2018年11月加挂“麒麟区行政审批局”的牌子，2019年2月正式承接审批业务，</w:t>
            </w:r>
            <w:r>
              <w:rPr>
                <w:rFonts w:hint="eastAsia"/>
              </w:rPr>
              <w:t>承接了全区除公安、税务、国土规划、环境保护、应急管理、意识形态外的17个区直</w:t>
            </w:r>
            <w:r>
              <w:rPr>
                <w:rFonts w:hint="eastAsia"/>
                <w:lang w:val="en-US" w:eastAsia="zh-CN"/>
              </w:rPr>
              <w:t>部门</w:t>
            </w:r>
            <w:r>
              <w:rPr>
                <w:rFonts w:hint="eastAsia"/>
              </w:rPr>
              <w:t>门的行政许可事项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2.办公地址：麒麟区南宁东路21号中和苑A幢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邮政编码：655000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sz w:val="24"/>
                <w:lang w:eastAsia="en-US"/>
              </w:rPr>
            </w:pPr>
            <w:r>
              <w:rPr>
                <w:rFonts w:hint="eastAsia"/>
                <w:lang w:val="en-US" w:eastAsia="zh-CN"/>
              </w:rPr>
              <w:t>联系电话：0874—6195355</w:t>
            </w:r>
          </w:p>
        </w:tc>
        <w:tc>
          <w:tcPr>
            <w:tcW w:w="2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麒麟区</w:t>
            </w:r>
            <w:r>
              <w:rPr>
                <w:sz w:val="21"/>
                <w:lang w:eastAsia="en-US"/>
              </w:rPr>
              <w:t>人民政府门户网</w:t>
            </w:r>
            <w:r>
              <w:rPr>
                <w:rFonts w:hint="eastAsia"/>
                <w:sz w:val="21"/>
                <w:lang w:eastAsia="zh-CN"/>
              </w:rPr>
              <w:t>（http://www.ql.gov.cn/html/bumenxinxi/zwfwgl/2.html）</w:t>
            </w: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sz w:val="24"/>
                <w:lang w:eastAsia="en-US"/>
              </w:rPr>
            </w:pPr>
            <w:r>
              <w:rPr>
                <w:w w:val="95"/>
                <w:sz w:val="21"/>
                <w:lang w:eastAsia="en-US"/>
              </w:rPr>
              <w:t>社会公众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sz w:val="24"/>
                <w:lang w:eastAsia="en-US"/>
              </w:rPr>
            </w:pPr>
            <w:r>
              <w:rPr>
                <w:sz w:val="21"/>
                <w:lang w:eastAsia="en-US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事前公开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执法人员清单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sz w:val="21"/>
                <w:lang w:eastAsia="en-US"/>
              </w:rPr>
            </w:pPr>
            <w:r>
              <w:rPr>
                <w:rFonts w:hint="eastAsia"/>
                <w:sz w:val="21"/>
                <w:lang w:val="en-US" w:eastAsia="zh-CN"/>
              </w:rPr>
              <w:t>麒麟区行政审批</w:t>
            </w:r>
            <w:r>
              <w:rPr>
                <w:sz w:val="21"/>
                <w:lang w:eastAsia="en-US"/>
              </w:rPr>
              <w:t>局</w:t>
            </w:r>
          </w:p>
        </w:tc>
        <w:tc>
          <w:tcPr>
            <w:tcW w:w="2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default" w:eastAsiaTheme="minorEastAsia"/>
                <w:sz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全局64名干部职工，除领导班子4人外，其余60名职工全部取得云南省行政执法证，审批人员全部持证上岗</w:t>
            </w:r>
          </w:p>
        </w:tc>
        <w:tc>
          <w:tcPr>
            <w:tcW w:w="2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sz w:val="21"/>
                <w:lang w:eastAsia="en-US"/>
              </w:rPr>
            </w:pPr>
            <w:r>
              <w:rPr>
                <w:rFonts w:hint="eastAsia"/>
                <w:sz w:val="21"/>
                <w:lang w:val="en-US" w:eastAsia="zh-CN"/>
              </w:rPr>
              <w:t>麒麟区政务</w:t>
            </w:r>
            <w:r>
              <w:rPr>
                <w:sz w:val="21"/>
                <w:lang w:eastAsia="en-US"/>
              </w:rPr>
              <w:t>服务大厅</w:t>
            </w: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w w:val="95"/>
                <w:sz w:val="21"/>
                <w:lang w:eastAsia="en-US"/>
              </w:rPr>
            </w:pPr>
            <w:r>
              <w:rPr>
                <w:w w:val="95"/>
                <w:sz w:val="21"/>
                <w:lang w:eastAsia="en-US"/>
              </w:rPr>
              <w:t>社会公众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事前公开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权责清单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sz w:val="21"/>
                <w:lang w:eastAsia="en-US"/>
              </w:rPr>
            </w:pPr>
            <w:r>
              <w:rPr>
                <w:rFonts w:hint="eastAsia"/>
                <w:sz w:val="21"/>
                <w:lang w:val="en-US" w:eastAsia="zh-CN"/>
              </w:rPr>
              <w:t>麒麟区行政审批</w:t>
            </w:r>
            <w:r>
              <w:rPr>
                <w:sz w:val="21"/>
                <w:lang w:eastAsia="en-US"/>
              </w:rPr>
              <w:t>局</w:t>
            </w:r>
          </w:p>
        </w:tc>
        <w:tc>
          <w:tcPr>
            <w:tcW w:w="2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权力和责任清单</w:t>
            </w:r>
          </w:p>
        </w:tc>
        <w:tc>
          <w:tcPr>
            <w:tcW w:w="2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eastAsiaTheme="minorEastAsia"/>
                <w:sz w:val="21"/>
                <w:lang w:val="en-US" w:eastAsia="zh-CN"/>
              </w:rPr>
            </w:pPr>
            <w:r>
              <w:rPr>
                <w:spacing w:val="-2"/>
                <w:w w:val="95"/>
                <w:sz w:val="21"/>
                <w:lang w:eastAsia="en-US"/>
              </w:rPr>
              <w:t>同级政务服务大厅</w:t>
            </w:r>
            <w:r>
              <w:rPr>
                <w:w w:val="95"/>
                <w:sz w:val="21"/>
                <w:lang w:eastAsia="en-US"/>
              </w:rPr>
              <w:t>（窗口</w:t>
            </w:r>
            <w:r>
              <w:rPr>
                <w:spacing w:val="-17"/>
                <w:w w:val="95"/>
                <w:sz w:val="21"/>
                <w:lang w:eastAsia="en-US"/>
              </w:rPr>
              <w:t>）</w:t>
            </w:r>
            <w:r>
              <w:rPr>
                <w:w w:val="95"/>
                <w:sz w:val="21"/>
                <w:lang w:eastAsia="en-US"/>
              </w:rPr>
              <w:t>和</w:t>
            </w:r>
            <w:r>
              <w:rPr>
                <w:rFonts w:hint="eastAsia"/>
                <w:sz w:val="21"/>
                <w:lang w:val="en-US" w:eastAsia="zh-CN"/>
              </w:rPr>
              <w:t>麒麟区</w:t>
            </w:r>
            <w:r>
              <w:rPr>
                <w:sz w:val="21"/>
                <w:lang w:eastAsia="en-US"/>
              </w:rPr>
              <w:t>人民政府门户网</w:t>
            </w:r>
            <w:r>
              <w:rPr>
                <w:rFonts w:hint="eastAsia"/>
                <w:sz w:val="21"/>
                <w:lang w:eastAsia="zh-CN"/>
              </w:rPr>
              <w:t>、</w:t>
            </w:r>
            <w:r>
              <w:rPr>
                <w:rFonts w:hint="eastAsia"/>
                <w:sz w:val="21"/>
                <w:lang w:val="en-US" w:eastAsia="zh-CN"/>
              </w:rPr>
              <w:t>云南机构编制网（http://qingdan.ynbb.gov.cn/show_s1.html）</w:t>
            </w: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w w:val="95"/>
                <w:sz w:val="21"/>
                <w:lang w:eastAsia="en-US"/>
              </w:rPr>
            </w:pPr>
            <w:r>
              <w:rPr>
                <w:w w:val="95"/>
                <w:sz w:val="21"/>
                <w:lang w:eastAsia="en-US"/>
              </w:rPr>
              <w:t>社会公众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事前公开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执法流程图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sz w:val="21"/>
                <w:lang w:eastAsia="en-US"/>
              </w:rPr>
            </w:pPr>
            <w:r>
              <w:rPr>
                <w:rFonts w:hint="eastAsia"/>
                <w:sz w:val="21"/>
                <w:lang w:val="en-US" w:eastAsia="zh-CN"/>
              </w:rPr>
              <w:t>麒麟区行政审批</w:t>
            </w:r>
            <w:r>
              <w:rPr>
                <w:sz w:val="21"/>
                <w:lang w:eastAsia="en-US"/>
              </w:rPr>
              <w:t>局</w:t>
            </w:r>
          </w:p>
        </w:tc>
        <w:tc>
          <w:tcPr>
            <w:tcW w:w="2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sz w:val="21"/>
                <w:lang w:eastAsia="en-US"/>
              </w:rPr>
            </w:pPr>
            <w:r>
              <w:rPr>
                <w:rFonts w:hint="eastAsia"/>
                <w:sz w:val="21"/>
                <w:lang w:val="en-US" w:eastAsia="zh-CN"/>
              </w:rPr>
              <w:t>麒麟区行政审批</w:t>
            </w:r>
            <w:r>
              <w:rPr>
                <w:sz w:val="21"/>
                <w:lang w:eastAsia="en-US"/>
              </w:rPr>
              <w:t>局行政职权运行流程图</w:t>
            </w:r>
          </w:p>
        </w:tc>
        <w:tc>
          <w:tcPr>
            <w:tcW w:w="2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spacing w:val="-2"/>
                <w:w w:val="95"/>
                <w:sz w:val="21"/>
                <w:lang w:eastAsia="en-US"/>
              </w:rPr>
            </w:pPr>
            <w:r>
              <w:rPr>
                <w:rFonts w:hint="eastAsia"/>
                <w:sz w:val="21"/>
                <w:lang w:val="en-US" w:eastAsia="zh-CN"/>
              </w:rPr>
              <w:t>麒麟区</w:t>
            </w:r>
            <w:r>
              <w:rPr>
                <w:sz w:val="21"/>
                <w:lang w:eastAsia="en-US"/>
              </w:rPr>
              <w:t>人民政府门户网</w:t>
            </w:r>
            <w:r>
              <w:rPr>
                <w:rFonts w:hint="eastAsia"/>
                <w:sz w:val="21"/>
                <w:lang w:eastAsia="zh-CN"/>
              </w:rPr>
              <w:t>（http://www.ql.gov.cn/html/bumenxinxi/zwfwgl/2.html）</w:t>
            </w:r>
            <w:r>
              <w:rPr>
                <w:sz w:val="21"/>
                <w:lang w:eastAsia="en-US"/>
              </w:rPr>
              <w:t>、</w:t>
            </w:r>
            <w:r>
              <w:rPr>
                <w:rFonts w:hint="eastAsia"/>
                <w:sz w:val="21"/>
                <w:lang w:val="en-US" w:eastAsia="zh-CN"/>
              </w:rPr>
              <w:t>麒麟区</w:t>
            </w:r>
            <w:r>
              <w:rPr>
                <w:sz w:val="21"/>
                <w:lang w:eastAsia="en-US"/>
              </w:rPr>
              <w:t>服务服务大厅</w:t>
            </w: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eastAsiaTheme="minorEastAsia"/>
                <w:w w:val="95"/>
                <w:sz w:val="21"/>
                <w:lang w:val="en-US" w:eastAsia="zh-CN"/>
              </w:rPr>
            </w:pPr>
            <w:r>
              <w:rPr>
                <w:rFonts w:hint="eastAsia"/>
                <w:w w:val="95"/>
                <w:sz w:val="21"/>
                <w:lang w:val="en-US" w:eastAsia="zh-CN"/>
              </w:rPr>
              <w:t>社会公众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eastAsiaTheme="minor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事中公开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1"/>
                <w:lang w:eastAsia="en-US"/>
              </w:rPr>
            </w:pPr>
            <w:r>
              <w:rPr>
                <w:spacing w:val="15"/>
                <w:sz w:val="21"/>
                <w:lang w:eastAsia="en-US"/>
              </w:rPr>
              <w:t>服务场所有关信息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Theme="minor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麒麟区行政审批</w:t>
            </w:r>
            <w:r>
              <w:rPr>
                <w:sz w:val="21"/>
                <w:lang w:eastAsia="en-US"/>
              </w:rPr>
              <w:t>局</w:t>
            </w:r>
          </w:p>
        </w:tc>
        <w:tc>
          <w:tcPr>
            <w:tcW w:w="2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岗位信息公示牌、申请材料示范文本等。</w:t>
            </w:r>
          </w:p>
        </w:tc>
        <w:tc>
          <w:tcPr>
            <w:tcW w:w="2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政务服务场所和执法场所</w:t>
            </w: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w w:val="95"/>
                <w:sz w:val="21"/>
                <w:lang w:val="en-US" w:eastAsia="zh-CN"/>
              </w:rPr>
            </w:pPr>
            <w:r>
              <w:rPr>
                <w:sz w:val="21"/>
                <w:lang w:eastAsia="en-US"/>
              </w:rPr>
              <w:t>行政相对人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工作期间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Theme="minor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事中公开</w:t>
            </w:r>
          </w:p>
        </w:tc>
        <w:tc>
          <w:tcPr>
            <w:tcW w:w="121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8" w:line="320" w:lineRule="exact"/>
              <w:ind w:left="20" w:right="13"/>
              <w:jc w:val="center"/>
              <w:textAlignment w:val="auto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执法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pacing w:val="15"/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证件及文书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1"/>
                <w:lang w:val="en-US" w:eastAsia="zh-CN"/>
              </w:rPr>
            </w:pPr>
            <w:r>
              <w:rPr>
                <w:sz w:val="21"/>
                <w:lang w:eastAsia="en-US"/>
              </w:rPr>
              <w:t>执法人员</w:t>
            </w:r>
          </w:p>
        </w:tc>
        <w:tc>
          <w:tcPr>
            <w:tcW w:w="2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1"/>
                <w:lang w:eastAsia="en-US"/>
              </w:rPr>
            </w:pPr>
            <w:r>
              <w:rPr>
                <w:spacing w:val="-16"/>
                <w:sz w:val="21"/>
                <w:lang w:eastAsia="en-US"/>
              </w:rPr>
              <w:t>执法人员的执法证件、执法文书。</w:t>
            </w:r>
          </w:p>
        </w:tc>
        <w:tc>
          <w:tcPr>
            <w:tcW w:w="2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现场出示执法证件，出具执法文书。</w:t>
            </w: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Theme="minor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行政相对人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执法期间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事中公开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Theme="minor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行政</w:t>
            </w:r>
            <w:r>
              <w:rPr>
                <w:rFonts w:hint="eastAsia"/>
                <w:sz w:val="21"/>
                <w:lang w:val="en-US" w:eastAsia="zh-CN"/>
              </w:rPr>
              <w:t>相对</w:t>
            </w:r>
            <w:r>
              <w:rPr>
                <w:rFonts w:hint="eastAsia"/>
                <w:sz w:val="21"/>
                <w:lang w:eastAsia="zh-CN"/>
              </w:rPr>
              <w:t>人的权力与义务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Theme="minor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执法人员</w:t>
            </w:r>
          </w:p>
        </w:tc>
        <w:tc>
          <w:tcPr>
            <w:tcW w:w="2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pacing w:val="-16"/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具体执法事项涉及的行政相对人权利和义务。</w:t>
            </w:r>
          </w:p>
        </w:tc>
        <w:tc>
          <w:tcPr>
            <w:tcW w:w="2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口头或书面</w:t>
            </w: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行政相对人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执法期间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事后公开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  <w:lang w:eastAsia="en-US"/>
              </w:rPr>
              <w:t>行政许可</w:t>
            </w:r>
            <w:r>
              <w:rPr>
                <w:rFonts w:hint="eastAsia"/>
                <w:sz w:val="21"/>
                <w:lang w:val="en-US" w:eastAsia="zh-CN"/>
              </w:rPr>
              <w:t>决定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麒麟区行政审批</w:t>
            </w:r>
            <w:r>
              <w:rPr>
                <w:sz w:val="21"/>
                <w:lang w:eastAsia="en-US"/>
              </w:rPr>
              <w:t>局</w:t>
            </w:r>
          </w:p>
        </w:tc>
        <w:tc>
          <w:tcPr>
            <w:tcW w:w="2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对行政许可决定、结果严格</w:t>
            </w:r>
            <w:r>
              <w:rPr>
                <w:spacing w:val="-17"/>
                <w:sz w:val="21"/>
                <w:lang w:eastAsia="en-US"/>
              </w:rPr>
              <w:t>按照《云南省行政执法公示办法》</w:t>
            </w:r>
            <w:r>
              <w:rPr>
                <w:sz w:val="21"/>
                <w:lang w:eastAsia="en-US"/>
              </w:rPr>
              <w:t>进行公开</w:t>
            </w:r>
          </w:p>
        </w:tc>
        <w:tc>
          <w:tcPr>
            <w:tcW w:w="2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sz w:val="21"/>
                <w:lang w:eastAsia="en-US"/>
              </w:rPr>
            </w:pPr>
            <w:r>
              <w:rPr>
                <w:rFonts w:hint="eastAsia"/>
                <w:w w:val="99"/>
                <w:sz w:val="21"/>
                <w:lang w:val="en-US" w:eastAsia="zh-CN"/>
              </w:rPr>
              <w:t>云南省信用信息平台、</w:t>
            </w:r>
            <w:r>
              <w:rPr>
                <w:rFonts w:hint="eastAsia"/>
                <w:sz w:val="21"/>
                <w:lang w:val="en-US" w:eastAsia="zh-CN"/>
              </w:rPr>
              <w:t>麒麟区</w:t>
            </w:r>
            <w:r>
              <w:rPr>
                <w:sz w:val="21"/>
                <w:lang w:eastAsia="en-US"/>
              </w:rPr>
              <w:t>人民政府门户网</w:t>
            </w:r>
            <w:r>
              <w:rPr>
                <w:rFonts w:hint="eastAsia"/>
                <w:sz w:val="21"/>
                <w:lang w:eastAsia="zh-CN"/>
              </w:rPr>
              <w:t>（http://www.ql.gov.cn/html/bumenxinxi/zwfwgl/2.html）、</w:t>
            </w:r>
            <w:r>
              <w:rPr>
                <w:rFonts w:hint="eastAsia"/>
                <w:sz w:val="21"/>
                <w:lang w:val="en-US" w:eastAsia="zh-CN"/>
              </w:rPr>
              <w:t>登报公示</w:t>
            </w: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社会公众</w:t>
            </w:r>
          </w:p>
        </w:tc>
        <w:tc>
          <w:tcPr>
            <w:tcW w:w="351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4" w:line="320" w:lineRule="exact"/>
              <w:ind w:right="-15"/>
              <w:jc w:val="left"/>
              <w:textAlignment w:val="auto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pacing w:val="-11"/>
                <w:sz w:val="21"/>
                <w:lang w:val="en-US" w:eastAsia="zh-CN"/>
              </w:rPr>
              <w:t>长期，</w:t>
            </w:r>
            <w:r>
              <w:rPr>
                <w:spacing w:val="-11"/>
                <w:sz w:val="21"/>
                <w:lang w:eastAsia="en-US"/>
              </w:rPr>
              <w:t>相关规定法律、法规、规章或相关文件</w:t>
            </w:r>
            <w:r>
              <w:rPr>
                <w:sz w:val="21"/>
                <w:lang w:eastAsia="en-US"/>
              </w:rPr>
              <w:t>另有规定的从其规定。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事后公开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  <w:lang w:eastAsia="en-US"/>
              </w:rPr>
              <w:t>部门年度执法数据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麒麟区行政审批</w:t>
            </w:r>
            <w:r>
              <w:rPr>
                <w:sz w:val="21"/>
                <w:lang w:eastAsia="en-US"/>
              </w:rPr>
              <w:t>局</w:t>
            </w:r>
          </w:p>
        </w:tc>
        <w:tc>
          <w:tcPr>
            <w:tcW w:w="2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汇总、统计本部门年度执法数据后进行公开</w:t>
            </w:r>
          </w:p>
        </w:tc>
        <w:tc>
          <w:tcPr>
            <w:tcW w:w="2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1"/>
                <w:lang w:eastAsia="en-US"/>
              </w:rPr>
            </w:pPr>
            <w:r>
              <w:rPr>
                <w:rFonts w:hint="eastAsia"/>
                <w:sz w:val="21"/>
                <w:lang w:val="en-US" w:eastAsia="zh-CN"/>
              </w:rPr>
              <w:t>麒麟区</w:t>
            </w:r>
            <w:r>
              <w:rPr>
                <w:sz w:val="21"/>
                <w:lang w:eastAsia="en-US"/>
              </w:rPr>
              <w:t>人民政府门户网</w:t>
            </w:r>
            <w:r>
              <w:rPr>
                <w:rFonts w:hint="eastAsia"/>
                <w:sz w:val="21"/>
                <w:lang w:eastAsia="zh-CN"/>
              </w:rPr>
              <w:t>（http://www.ql.gov.cn/html/bumenxinxi/zwfwgl/2.html）</w:t>
            </w: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  <w:lang w:eastAsia="en-US"/>
              </w:rPr>
              <w:t>社会公众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  <w:lang w:eastAsia="en-US"/>
              </w:rPr>
              <w:t>长</w:t>
            </w:r>
            <w:r>
              <w:rPr>
                <w:sz w:val="21"/>
                <w:lang w:eastAsia="en-US"/>
              </w:rPr>
              <w:tab/>
            </w:r>
            <w:r>
              <w:rPr>
                <w:sz w:val="21"/>
                <w:lang w:eastAsia="en-US"/>
              </w:rPr>
              <w:t>期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</w:pP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</w:p>
    <w:tbl>
      <w:tblPr>
        <w:tblStyle w:val="6"/>
        <w:tblpPr w:leftFromText="180" w:rightFromText="180" w:vertAnchor="text" w:horzAnchor="page" w:tblpX="1310" w:tblpY="716"/>
        <w:tblOverlap w:val="never"/>
        <w:tblW w:w="14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198"/>
        <w:gridCol w:w="1466"/>
        <w:gridCol w:w="1467"/>
        <w:gridCol w:w="2160"/>
        <w:gridCol w:w="4086"/>
        <w:gridCol w:w="1993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b/>
                <w:bCs/>
                <w:sz w:val="24"/>
                <w:lang w:eastAsia="en-US"/>
              </w:rPr>
              <w:t>序号</w:t>
            </w:r>
          </w:p>
        </w:tc>
        <w:tc>
          <w:tcPr>
            <w:tcW w:w="11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b/>
                <w:bCs/>
                <w:sz w:val="24"/>
                <w:lang w:eastAsia="en-US"/>
              </w:rPr>
              <w:t>执法类别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b/>
                <w:bCs/>
                <w:sz w:val="24"/>
                <w:lang w:eastAsia="en-US"/>
              </w:rPr>
              <w:t>记录载体</w:t>
            </w:r>
          </w:p>
        </w:tc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b/>
                <w:bCs/>
                <w:sz w:val="24"/>
                <w:lang w:eastAsia="en-US"/>
              </w:rPr>
              <w:t>记录载体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b/>
                <w:bCs/>
                <w:sz w:val="24"/>
                <w:lang w:eastAsia="en-US"/>
              </w:rPr>
              <w:t>记录场所</w:t>
            </w:r>
          </w:p>
        </w:tc>
        <w:tc>
          <w:tcPr>
            <w:tcW w:w="4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b/>
                <w:bCs/>
                <w:sz w:val="24"/>
                <w:lang w:eastAsia="en-US"/>
              </w:rPr>
              <w:t>记录内容</w:t>
            </w:r>
          </w:p>
        </w:tc>
        <w:tc>
          <w:tcPr>
            <w:tcW w:w="1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b/>
                <w:bCs/>
                <w:sz w:val="24"/>
                <w:lang w:eastAsia="en-US"/>
              </w:rPr>
              <w:t>记录部门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b/>
                <w:bCs/>
                <w:sz w:val="24"/>
                <w:lang w:eastAsia="en-US"/>
              </w:rPr>
              <w:t>记录人员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19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20" w:lineRule="exact"/>
              <w:jc w:val="center"/>
              <w:textAlignment w:val="auto"/>
              <w:rPr>
                <w:lang w:eastAsia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lang w:eastAsia="en-US"/>
              </w:rPr>
            </w:pPr>
            <w:r>
              <w:rPr>
                <w:sz w:val="21"/>
                <w:lang w:eastAsia="en-US"/>
              </w:rPr>
              <w:t>行政许可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lang w:eastAsia="en-US"/>
              </w:rPr>
            </w:pPr>
            <w:r>
              <w:rPr>
                <w:sz w:val="21"/>
                <w:lang w:eastAsia="en-US"/>
              </w:rPr>
              <w:t>接受受理材料</w:t>
            </w:r>
          </w:p>
        </w:tc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lang w:eastAsia="en-US"/>
              </w:rPr>
            </w:pPr>
            <w:r>
              <w:rPr>
                <w:sz w:val="21"/>
                <w:lang w:eastAsia="en-US"/>
              </w:rPr>
              <w:t>音视频监控设备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lang w:eastAsia="en-US"/>
              </w:rPr>
            </w:pPr>
            <w:r>
              <w:rPr>
                <w:sz w:val="21"/>
                <w:lang w:eastAsia="en-US"/>
              </w:rPr>
              <w:t>政务服务窗口</w:t>
            </w:r>
          </w:p>
        </w:tc>
        <w:tc>
          <w:tcPr>
            <w:tcW w:w="4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lang w:eastAsia="en-US"/>
              </w:rPr>
            </w:pPr>
            <w:r>
              <w:rPr>
                <w:spacing w:val="-14"/>
                <w:sz w:val="21"/>
                <w:lang w:eastAsia="en-US"/>
              </w:rPr>
              <w:t>记录申请人申请，执法服务人员接收、当场更正、告知补正、审查受理等环节</w:t>
            </w:r>
          </w:p>
        </w:tc>
        <w:tc>
          <w:tcPr>
            <w:tcW w:w="1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lang w:eastAsia="en-US"/>
              </w:rPr>
            </w:pPr>
            <w:r>
              <w:rPr>
                <w:sz w:val="21"/>
                <w:lang w:eastAsia="en-US"/>
              </w:rPr>
              <w:t>行政许可执法机构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lang w:eastAsia="en-US"/>
              </w:rPr>
            </w:pPr>
            <w:r>
              <w:rPr>
                <w:sz w:val="21"/>
                <w:lang w:eastAsia="en-US"/>
              </w:rPr>
              <w:t>行政执法人员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9" w:hRule="atLeast"/>
        </w:trPr>
        <w:tc>
          <w:tcPr>
            <w:tcW w:w="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19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20" w:lineRule="exact"/>
              <w:jc w:val="center"/>
              <w:textAlignment w:val="auto"/>
              <w:rPr>
                <w:lang w:eastAsia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lang w:eastAsia="en-US"/>
              </w:rPr>
            </w:pPr>
            <w:r>
              <w:rPr>
                <w:sz w:val="21"/>
                <w:lang w:eastAsia="en-US"/>
              </w:rPr>
              <w:t>行政许可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lang w:eastAsia="en-US"/>
              </w:rPr>
            </w:pPr>
            <w:r>
              <w:rPr>
                <w:spacing w:val="34"/>
                <w:sz w:val="21"/>
                <w:lang w:eastAsia="en-US"/>
              </w:rPr>
              <w:t>行政许可申请人和利害关系人当面</w:t>
            </w:r>
            <w:r>
              <w:rPr>
                <w:spacing w:val="-7"/>
                <w:sz w:val="21"/>
                <w:lang w:eastAsia="en-US"/>
              </w:rPr>
              <w:t>口头陈述、申</w:t>
            </w:r>
            <w:r>
              <w:rPr>
                <w:sz w:val="21"/>
                <w:lang w:eastAsia="en-US"/>
              </w:rPr>
              <w:t>辩</w:t>
            </w:r>
          </w:p>
        </w:tc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lang w:eastAsia="en-US"/>
              </w:rPr>
            </w:pPr>
            <w:r>
              <w:rPr>
                <w:sz w:val="21"/>
                <w:lang w:eastAsia="en-US"/>
              </w:rPr>
              <w:t>录音机、摄像机、执法记录仪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lang w:eastAsia="en-US"/>
              </w:rPr>
            </w:pPr>
            <w:r>
              <w:rPr>
                <w:sz w:val="21"/>
                <w:lang w:eastAsia="en-US"/>
              </w:rPr>
              <w:t>陈述申辩场所</w:t>
            </w:r>
          </w:p>
        </w:tc>
        <w:tc>
          <w:tcPr>
            <w:tcW w:w="4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lang w:eastAsia="en-US"/>
              </w:rPr>
            </w:pPr>
            <w:r>
              <w:rPr>
                <w:sz w:val="21"/>
                <w:lang w:eastAsia="en-US"/>
              </w:rPr>
              <w:t>记录行政许可申请人和利害关系人申辩全过程</w:t>
            </w:r>
          </w:p>
        </w:tc>
        <w:tc>
          <w:tcPr>
            <w:tcW w:w="1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lang w:eastAsia="en-US"/>
              </w:rPr>
            </w:pPr>
            <w:r>
              <w:rPr>
                <w:sz w:val="21"/>
                <w:lang w:eastAsia="en-US"/>
              </w:rPr>
              <w:t>行政许可执法机构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lang w:eastAsia="en-US"/>
              </w:rPr>
            </w:pPr>
            <w:r>
              <w:rPr>
                <w:sz w:val="21"/>
                <w:lang w:eastAsia="en-US"/>
              </w:rPr>
              <w:t>行政执法人员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19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20" w:lineRule="exact"/>
              <w:jc w:val="center"/>
              <w:textAlignment w:val="auto"/>
              <w:rPr>
                <w:lang w:eastAsia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lang w:eastAsia="en-US"/>
              </w:rPr>
            </w:pPr>
            <w:r>
              <w:rPr>
                <w:sz w:val="21"/>
                <w:lang w:eastAsia="en-US"/>
              </w:rPr>
              <w:t>行政许可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lang w:eastAsia="en-US"/>
              </w:rPr>
            </w:pPr>
            <w:r>
              <w:rPr>
                <w:sz w:val="21"/>
                <w:lang w:eastAsia="en-US"/>
              </w:rPr>
              <w:t>行政许可听证会</w:t>
            </w:r>
          </w:p>
        </w:tc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lang w:eastAsia="en-US"/>
              </w:rPr>
            </w:pPr>
            <w:r>
              <w:rPr>
                <w:sz w:val="21"/>
                <w:lang w:eastAsia="en-US"/>
              </w:rPr>
              <w:t>摄像机、视频监控设备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lang w:eastAsia="en-US"/>
              </w:rPr>
            </w:pPr>
            <w:r>
              <w:rPr>
                <w:sz w:val="21"/>
                <w:lang w:eastAsia="en-US"/>
              </w:rPr>
              <w:t>听证场所</w:t>
            </w:r>
          </w:p>
        </w:tc>
        <w:tc>
          <w:tcPr>
            <w:tcW w:w="4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lang w:eastAsia="en-US"/>
              </w:rPr>
            </w:pPr>
            <w:r>
              <w:rPr>
                <w:sz w:val="21"/>
                <w:lang w:eastAsia="en-US"/>
              </w:rPr>
              <w:t>记录听证全过程</w:t>
            </w:r>
          </w:p>
        </w:tc>
        <w:tc>
          <w:tcPr>
            <w:tcW w:w="1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lang w:eastAsia="en-US"/>
              </w:rPr>
            </w:pPr>
            <w:r>
              <w:rPr>
                <w:sz w:val="21"/>
                <w:lang w:eastAsia="en-US"/>
              </w:rPr>
              <w:t>行政许可执法机构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lang w:eastAsia="en-US"/>
              </w:rPr>
            </w:pPr>
            <w:r>
              <w:rPr>
                <w:sz w:val="21"/>
                <w:lang w:eastAsia="en-US"/>
              </w:rPr>
              <w:t>行政执法人员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19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20" w:lineRule="exact"/>
              <w:jc w:val="center"/>
              <w:textAlignment w:val="auto"/>
              <w:rPr>
                <w:lang w:eastAsia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lang w:eastAsia="en-US"/>
              </w:rPr>
            </w:pPr>
            <w:r>
              <w:rPr>
                <w:sz w:val="21"/>
                <w:lang w:eastAsia="en-US"/>
              </w:rPr>
              <w:t>行政许可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lang w:eastAsia="en-US"/>
              </w:rPr>
            </w:pPr>
            <w:r>
              <w:rPr>
                <w:sz w:val="21"/>
                <w:lang w:eastAsia="en-US"/>
              </w:rPr>
              <w:t>行政许可专家论证会</w:t>
            </w:r>
          </w:p>
        </w:tc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lang w:eastAsia="en-US"/>
              </w:rPr>
            </w:pPr>
            <w:r>
              <w:rPr>
                <w:sz w:val="21"/>
                <w:lang w:eastAsia="en-US"/>
              </w:rPr>
              <w:t>摄像机、视频监控设备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lang w:eastAsia="en-US"/>
              </w:rPr>
            </w:pPr>
            <w:r>
              <w:rPr>
                <w:sz w:val="21"/>
                <w:lang w:eastAsia="en-US"/>
              </w:rPr>
              <w:t>专家论证场所</w:t>
            </w:r>
          </w:p>
        </w:tc>
        <w:tc>
          <w:tcPr>
            <w:tcW w:w="4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lang w:eastAsia="en-US"/>
              </w:rPr>
            </w:pPr>
            <w:r>
              <w:rPr>
                <w:sz w:val="21"/>
                <w:lang w:eastAsia="en-US"/>
              </w:rPr>
              <w:t>专家论证全过程</w:t>
            </w:r>
          </w:p>
        </w:tc>
        <w:tc>
          <w:tcPr>
            <w:tcW w:w="1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lang w:eastAsia="en-US"/>
              </w:rPr>
            </w:pPr>
            <w:r>
              <w:rPr>
                <w:sz w:val="21"/>
                <w:lang w:eastAsia="en-US"/>
              </w:rPr>
              <w:t>行政许可执法机构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lang w:eastAsia="en-US"/>
              </w:rPr>
            </w:pPr>
            <w:r>
              <w:rPr>
                <w:sz w:val="21"/>
                <w:lang w:eastAsia="en-US"/>
              </w:rPr>
              <w:t>行政执法人员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11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1"/>
                <w:lang w:eastAsia="en-US"/>
              </w:rPr>
            </w:pPr>
            <w:r>
              <w:rPr>
                <w:rFonts w:hint="eastAsia"/>
                <w:sz w:val="21"/>
                <w:lang w:eastAsia="zh-CN"/>
              </w:rPr>
              <w:t>送达环节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政务服务窗口送达</w:t>
            </w:r>
          </w:p>
        </w:tc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音视频监控设备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政务服务窗口</w:t>
            </w:r>
          </w:p>
        </w:tc>
        <w:tc>
          <w:tcPr>
            <w:tcW w:w="4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记录审批决定送达过程</w:t>
            </w:r>
          </w:p>
        </w:tc>
        <w:tc>
          <w:tcPr>
            <w:tcW w:w="1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行政许可执法机构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窗口工作人员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11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送达环节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邮寄送达</w:t>
            </w:r>
          </w:p>
        </w:tc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照相机、摄像机、执法记录仪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邮寄场所</w:t>
            </w:r>
          </w:p>
        </w:tc>
        <w:tc>
          <w:tcPr>
            <w:tcW w:w="4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1"/>
                <w:lang w:eastAsia="en-US"/>
              </w:rPr>
            </w:pPr>
            <w:r>
              <w:rPr>
                <w:spacing w:val="-8"/>
                <w:w w:val="95"/>
                <w:sz w:val="21"/>
                <w:lang w:eastAsia="en-US"/>
              </w:rPr>
              <w:t>对交寄物品、交寄时间和送达结果等进行音像记</w:t>
            </w:r>
            <w:r>
              <w:rPr>
                <w:spacing w:val="-8"/>
                <w:sz w:val="21"/>
                <w:lang w:eastAsia="en-US"/>
              </w:rPr>
              <w:t>录</w:t>
            </w:r>
          </w:p>
        </w:tc>
        <w:tc>
          <w:tcPr>
            <w:tcW w:w="1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行政许可执法机构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行政执法人员、执法监督机构人员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清单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             曲靖市麒麟区行政审批局音像记录事项清单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清单3    曲靖市麒麟区行政审批局重大行政执法决定法制审核目录清单</w:t>
      </w:r>
    </w:p>
    <w:tbl>
      <w:tblPr>
        <w:tblStyle w:val="6"/>
        <w:tblW w:w="14698" w:type="dxa"/>
        <w:tblInd w:w="-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2027"/>
        <w:gridCol w:w="1671"/>
        <w:gridCol w:w="1592"/>
        <w:gridCol w:w="1118"/>
        <w:gridCol w:w="13"/>
        <w:gridCol w:w="2711"/>
        <w:gridCol w:w="3250"/>
        <w:gridCol w:w="1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b/>
                <w:bCs/>
                <w:sz w:val="24"/>
                <w:lang w:eastAsia="en-US"/>
              </w:rPr>
              <w:t>执法项目大类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b/>
                <w:bCs/>
                <w:sz w:val="24"/>
                <w:lang w:eastAsia="en-US"/>
              </w:rPr>
              <w:t>审核的具体执法决定项目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b/>
                <w:bCs/>
                <w:sz w:val="24"/>
                <w:lang w:eastAsia="en-US"/>
              </w:rPr>
              <w:t>依据</w:t>
            </w:r>
          </w:p>
        </w:tc>
        <w:tc>
          <w:tcPr>
            <w:tcW w:w="11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b/>
                <w:bCs/>
                <w:sz w:val="24"/>
                <w:lang w:eastAsia="en-US"/>
              </w:rPr>
              <w:t>提交部门</w:t>
            </w:r>
          </w:p>
        </w:tc>
        <w:tc>
          <w:tcPr>
            <w:tcW w:w="2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b/>
                <w:bCs/>
                <w:sz w:val="24"/>
                <w:lang w:eastAsia="en-US"/>
              </w:rPr>
              <w:t>应提交的审核资料</w:t>
            </w:r>
          </w:p>
        </w:tc>
        <w:tc>
          <w:tcPr>
            <w:tcW w:w="3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b/>
                <w:bCs/>
                <w:sz w:val="24"/>
                <w:lang w:eastAsia="en-US"/>
              </w:rPr>
              <w:t>审核重点</w:t>
            </w:r>
          </w:p>
        </w:tc>
        <w:tc>
          <w:tcPr>
            <w:tcW w:w="15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b/>
                <w:bCs/>
                <w:sz w:val="24"/>
                <w:lang w:eastAsia="en-US"/>
              </w:rPr>
              <w:t>审核科室或审核人员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以政府名义作出的审批事项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lang w:eastAsia="en-US"/>
              </w:rPr>
            </w:pPr>
            <w:r>
              <w:rPr>
                <w:sz w:val="21"/>
                <w:lang w:eastAsia="en-US"/>
              </w:rPr>
              <w:t>依</w:t>
            </w:r>
            <w:r>
              <w:rPr>
                <w:rFonts w:hint="eastAsia"/>
                <w:sz w:val="21"/>
                <w:lang w:val="en-US" w:eastAsia="zh-CN"/>
              </w:rPr>
              <w:t>许可</w:t>
            </w:r>
            <w:r>
              <w:rPr>
                <w:sz w:val="21"/>
                <w:lang w:eastAsia="en-US"/>
              </w:rPr>
              <w:t>情况具体确定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lang w:eastAsia="en-US"/>
              </w:rPr>
            </w:pPr>
            <w:r>
              <w:rPr>
                <w:sz w:val="21"/>
                <w:lang w:eastAsia="en-US"/>
              </w:rPr>
              <w:t>依</w:t>
            </w:r>
            <w:r>
              <w:rPr>
                <w:rFonts w:hint="eastAsia"/>
                <w:sz w:val="21"/>
                <w:lang w:val="en-US" w:eastAsia="zh-CN"/>
              </w:rPr>
              <w:t>许可</w:t>
            </w:r>
            <w:r>
              <w:rPr>
                <w:sz w:val="21"/>
                <w:lang w:eastAsia="en-US"/>
              </w:rPr>
              <w:t>情况具体确定</w:t>
            </w:r>
          </w:p>
        </w:tc>
        <w:tc>
          <w:tcPr>
            <w:tcW w:w="11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lang w:eastAsia="en-US"/>
              </w:rPr>
            </w:pPr>
            <w:r>
              <w:rPr>
                <w:sz w:val="21"/>
                <w:lang w:eastAsia="en-US"/>
              </w:rPr>
              <w:t>承办科室</w:t>
            </w:r>
          </w:p>
        </w:tc>
        <w:tc>
          <w:tcPr>
            <w:tcW w:w="27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lang w:eastAsia="en-US"/>
              </w:rPr>
            </w:pPr>
            <w:r>
              <w:rPr>
                <w:spacing w:val="-3"/>
                <w:w w:val="95"/>
                <w:sz w:val="21"/>
                <w:lang w:eastAsia="en-US"/>
              </w:rPr>
              <w:t>提交调查报告、重大</w:t>
            </w:r>
            <w:r>
              <w:rPr>
                <w:spacing w:val="-3"/>
                <w:sz w:val="21"/>
                <w:lang w:eastAsia="en-US"/>
              </w:rPr>
              <w:t>行政执法决定建议</w:t>
            </w:r>
            <w:r>
              <w:rPr>
                <w:spacing w:val="-6"/>
                <w:sz w:val="21"/>
                <w:lang w:eastAsia="en-US"/>
              </w:rPr>
              <w:t>意见及情况说明、执</w:t>
            </w:r>
            <w:r>
              <w:rPr>
                <w:spacing w:val="-5"/>
                <w:sz w:val="21"/>
                <w:lang w:eastAsia="en-US"/>
              </w:rPr>
              <w:t>法决定书代拟稿、听</w:t>
            </w:r>
            <w:r>
              <w:rPr>
                <w:spacing w:val="-6"/>
                <w:sz w:val="21"/>
                <w:lang w:eastAsia="en-US"/>
              </w:rPr>
              <w:t>证笔录、评估报告和</w:t>
            </w:r>
            <w:r>
              <w:rPr>
                <w:sz w:val="21"/>
                <w:lang w:eastAsia="en-US"/>
              </w:rPr>
              <w:t>承办机构集体讨论记录等全部相关材料和目录清单</w:t>
            </w:r>
          </w:p>
        </w:tc>
        <w:tc>
          <w:tcPr>
            <w:tcW w:w="3250" w:type="dxa"/>
            <w:vMerge w:val="restar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7" w:line="320" w:lineRule="exact"/>
              <w:ind w:right="63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en-US"/>
              </w:rPr>
              <w:t>是否属于本单位职权范围，行政执法主体是否合法；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7" w:line="320" w:lineRule="exact"/>
              <w:ind w:right="63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en-US"/>
              </w:rPr>
              <w:t>行政执法人员是否具备执法资格；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7" w:line="320" w:lineRule="exact"/>
              <w:ind w:right="63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en-US"/>
              </w:rPr>
              <w:t>主要事实是否清楚证据是否确凿、充分；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7" w:line="320" w:lineRule="exact"/>
              <w:ind w:right="63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en-US"/>
              </w:rPr>
              <w:t>适用法律、法规、规章是否准确；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7" w:line="320" w:lineRule="exact"/>
              <w:ind w:right="63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en-US"/>
              </w:rPr>
              <w:t>执行裁量基准是否适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7" w:line="320" w:lineRule="exact"/>
              <w:ind w:right="63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en-US"/>
              </w:rPr>
              <w:t>程序是否合法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5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法规科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有限自然资源开发利用、公共资源配置以及直接关系公共利益的特定行业的市场准入等，需要赋予特定权利的事项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依</w:t>
            </w:r>
            <w:r>
              <w:rPr>
                <w:rFonts w:hint="eastAsia"/>
                <w:sz w:val="21"/>
                <w:lang w:val="en-US" w:eastAsia="zh-CN"/>
              </w:rPr>
              <w:t>许可</w:t>
            </w:r>
            <w:r>
              <w:rPr>
                <w:sz w:val="21"/>
                <w:lang w:eastAsia="en-US"/>
              </w:rPr>
              <w:t>情况具体确定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依</w:t>
            </w:r>
            <w:r>
              <w:rPr>
                <w:rFonts w:hint="eastAsia"/>
                <w:sz w:val="21"/>
                <w:lang w:val="en-US" w:eastAsia="zh-CN"/>
              </w:rPr>
              <w:t>许可</w:t>
            </w:r>
            <w:r>
              <w:rPr>
                <w:sz w:val="21"/>
                <w:lang w:eastAsia="en-US"/>
              </w:rPr>
              <w:t>情况具体确定</w:t>
            </w:r>
          </w:p>
        </w:tc>
        <w:tc>
          <w:tcPr>
            <w:tcW w:w="11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承办科室</w:t>
            </w:r>
          </w:p>
        </w:tc>
        <w:tc>
          <w:tcPr>
            <w:tcW w:w="27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pacing w:val="-3"/>
                <w:w w:val="95"/>
                <w:sz w:val="21"/>
                <w:lang w:eastAsia="en-US"/>
              </w:rPr>
            </w:pPr>
          </w:p>
        </w:tc>
        <w:tc>
          <w:tcPr>
            <w:tcW w:w="32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1"/>
                <w:lang w:eastAsia="en-US"/>
              </w:rPr>
            </w:pPr>
          </w:p>
        </w:tc>
        <w:tc>
          <w:tcPr>
            <w:tcW w:w="15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en-US" w:bidi="ar-SA"/>
              </w:rPr>
              <w:t>直接涉及公共安全、生态环境保护以及直接关系人身健康、生命财产安全等特定活动的事项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依</w:t>
            </w:r>
            <w:r>
              <w:rPr>
                <w:rFonts w:hint="eastAsia"/>
                <w:sz w:val="21"/>
                <w:lang w:val="en-US" w:eastAsia="zh-CN"/>
              </w:rPr>
              <w:t>许可</w:t>
            </w:r>
            <w:r>
              <w:rPr>
                <w:sz w:val="21"/>
                <w:lang w:eastAsia="en-US"/>
              </w:rPr>
              <w:t>情况具体确定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依</w:t>
            </w:r>
            <w:r>
              <w:rPr>
                <w:rFonts w:hint="eastAsia"/>
                <w:sz w:val="21"/>
                <w:lang w:val="en-US" w:eastAsia="zh-CN"/>
              </w:rPr>
              <w:t>许可</w:t>
            </w:r>
            <w:r>
              <w:rPr>
                <w:sz w:val="21"/>
                <w:lang w:eastAsia="en-US"/>
              </w:rPr>
              <w:t>情况具体确定</w:t>
            </w:r>
          </w:p>
        </w:tc>
        <w:tc>
          <w:tcPr>
            <w:tcW w:w="11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承办科室</w:t>
            </w:r>
          </w:p>
        </w:tc>
        <w:tc>
          <w:tcPr>
            <w:tcW w:w="27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pacing w:val="-3"/>
                <w:w w:val="95"/>
                <w:sz w:val="21"/>
                <w:lang w:eastAsia="en-US"/>
              </w:rPr>
            </w:pPr>
          </w:p>
        </w:tc>
        <w:tc>
          <w:tcPr>
            <w:tcW w:w="32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1"/>
                <w:lang w:eastAsia="en-US"/>
              </w:rPr>
            </w:pPr>
          </w:p>
        </w:tc>
        <w:tc>
          <w:tcPr>
            <w:tcW w:w="15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en-US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en-US" w:bidi="ar-SA"/>
              </w:rPr>
              <w:t>不予行政许可、不予行政许可变更、不予行政许可延续或者撤销和注销行政许可等事项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依</w:t>
            </w:r>
            <w:r>
              <w:rPr>
                <w:rFonts w:hint="eastAsia"/>
                <w:sz w:val="21"/>
                <w:lang w:val="en-US" w:eastAsia="zh-CN"/>
              </w:rPr>
              <w:t>许可</w:t>
            </w:r>
            <w:r>
              <w:rPr>
                <w:sz w:val="21"/>
                <w:lang w:eastAsia="en-US"/>
              </w:rPr>
              <w:t>情况具体确定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依</w:t>
            </w:r>
            <w:r>
              <w:rPr>
                <w:rFonts w:hint="eastAsia"/>
                <w:sz w:val="21"/>
                <w:lang w:val="en-US" w:eastAsia="zh-CN"/>
              </w:rPr>
              <w:t>许可</w:t>
            </w:r>
            <w:r>
              <w:rPr>
                <w:sz w:val="21"/>
                <w:lang w:eastAsia="en-US"/>
              </w:rPr>
              <w:t>情况具体确定</w:t>
            </w:r>
          </w:p>
        </w:tc>
        <w:tc>
          <w:tcPr>
            <w:tcW w:w="11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承办科室</w:t>
            </w:r>
          </w:p>
        </w:tc>
        <w:tc>
          <w:tcPr>
            <w:tcW w:w="27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pacing w:val="-3"/>
                <w:w w:val="95"/>
                <w:sz w:val="21"/>
                <w:lang w:eastAsia="en-US"/>
              </w:rPr>
            </w:pPr>
          </w:p>
        </w:tc>
        <w:tc>
          <w:tcPr>
            <w:tcW w:w="32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1"/>
                <w:lang w:eastAsia="en-US"/>
              </w:rPr>
            </w:pPr>
          </w:p>
        </w:tc>
        <w:tc>
          <w:tcPr>
            <w:tcW w:w="15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02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2" w:line="320" w:lineRule="exact"/>
              <w:ind w:left="14" w:right="6"/>
              <w:jc w:val="both"/>
              <w:textAlignment w:val="auto"/>
              <w:rPr>
                <w:spacing w:val="-3"/>
                <w:sz w:val="21"/>
                <w:lang w:eastAsia="en-US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en-US" w:bidi="ar-SA"/>
              </w:rPr>
              <w:t>法律、法规、规章规定实施行政许可应当听证的事项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依</w:t>
            </w:r>
            <w:r>
              <w:rPr>
                <w:rFonts w:hint="eastAsia"/>
                <w:sz w:val="21"/>
                <w:lang w:val="en-US" w:eastAsia="zh-CN"/>
              </w:rPr>
              <w:t>许可</w:t>
            </w:r>
            <w:r>
              <w:rPr>
                <w:sz w:val="21"/>
                <w:lang w:eastAsia="en-US"/>
              </w:rPr>
              <w:t>情况具体确定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依</w:t>
            </w:r>
            <w:r>
              <w:rPr>
                <w:rFonts w:hint="eastAsia"/>
                <w:sz w:val="21"/>
                <w:lang w:val="en-US" w:eastAsia="zh-CN"/>
              </w:rPr>
              <w:t>许可</w:t>
            </w:r>
            <w:r>
              <w:rPr>
                <w:sz w:val="21"/>
                <w:lang w:eastAsia="en-US"/>
              </w:rPr>
              <w:t>情况具体确定</w:t>
            </w: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承办科室</w:t>
            </w:r>
          </w:p>
        </w:tc>
        <w:tc>
          <w:tcPr>
            <w:tcW w:w="272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pacing w:val="-3"/>
                <w:w w:val="95"/>
                <w:sz w:val="21"/>
                <w:lang w:eastAsia="en-US"/>
              </w:rPr>
            </w:pPr>
            <w:r>
              <w:rPr>
                <w:spacing w:val="-3"/>
                <w:w w:val="95"/>
                <w:sz w:val="21"/>
                <w:lang w:eastAsia="en-US"/>
              </w:rPr>
              <w:t>提交调查报告、重大</w:t>
            </w:r>
            <w:r>
              <w:rPr>
                <w:spacing w:val="-3"/>
                <w:sz w:val="21"/>
                <w:lang w:eastAsia="en-US"/>
              </w:rPr>
              <w:t>行政执法决定建议</w:t>
            </w:r>
            <w:r>
              <w:rPr>
                <w:spacing w:val="-6"/>
                <w:sz w:val="21"/>
                <w:lang w:eastAsia="en-US"/>
              </w:rPr>
              <w:t>意见及情况说明、执</w:t>
            </w:r>
            <w:r>
              <w:rPr>
                <w:spacing w:val="-5"/>
                <w:sz w:val="21"/>
                <w:lang w:eastAsia="en-US"/>
              </w:rPr>
              <w:t>法决定书代拟稿、听</w:t>
            </w:r>
            <w:r>
              <w:rPr>
                <w:spacing w:val="-6"/>
                <w:sz w:val="21"/>
                <w:lang w:eastAsia="en-US"/>
              </w:rPr>
              <w:t>证笔录、评估报告和</w:t>
            </w:r>
            <w:r>
              <w:rPr>
                <w:sz w:val="21"/>
                <w:lang w:eastAsia="en-US"/>
              </w:rPr>
              <w:t>承办机构集体讨论记录等全部相关材料和目录清单</w:t>
            </w:r>
          </w:p>
        </w:tc>
        <w:tc>
          <w:tcPr>
            <w:tcW w:w="3250" w:type="dxa"/>
            <w:vMerge w:val="restar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7" w:line="320" w:lineRule="exact"/>
              <w:ind w:right="63" w:right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en-US"/>
              </w:rPr>
              <w:t>属于本单位职权范围，行政执法主体是否合法；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7" w:line="320" w:lineRule="exact"/>
              <w:ind w:right="63" w:right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en-US"/>
              </w:rPr>
              <w:t>行政执法人员是否具备执法资格；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7" w:line="320" w:lineRule="exact"/>
              <w:ind w:right="63" w:right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en-US"/>
              </w:rPr>
              <w:t>主要事实是否清楚证据是否确凿、充分；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7" w:line="320" w:lineRule="exact"/>
              <w:ind w:right="63" w:right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en-US"/>
              </w:rPr>
              <w:t>适用法律、法规、规章是否准确；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7" w:line="320" w:lineRule="exact"/>
              <w:ind w:right="63" w:right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en-US"/>
              </w:rPr>
              <w:t>执行裁量基准是否适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4" w:right="63"/>
              <w:jc w:val="center"/>
              <w:textAlignment w:val="auto"/>
              <w:rPr>
                <w:sz w:val="21"/>
                <w:lang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en-US"/>
              </w:rPr>
              <w:t>程序是否合法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5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法规科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027" w:type="dxa"/>
            <w:vAlign w:val="center"/>
          </w:tcPr>
          <w:p>
            <w:pPr>
              <w:pStyle w:val="9"/>
              <w:spacing w:before="185" w:line="288" w:lineRule="auto"/>
              <w:ind w:left="14" w:right="3"/>
              <w:jc w:val="both"/>
              <w:rPr>
                <w:sz w:val="21"/>
                <w:lang w:eastAsia="en-US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涉及重大公共利益，可能造成重大社会影响或引发社会风险的行政许可决定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依</w:t>
            </w:r>
            <w:r>
              <w:rPr>
                <w:rFonts w:hint="eastAsia"/>
                <w:sz w:val="21"/>
                <w:lang w:val="en-US" w:eastAsia="zh-CN"/>
              </w:rPr>
              <w:t>许可</w:t>
            </w:r>
            <w:r>
              <w:rPr>
                <w:sz w:val="21"/>
                <w:lang w:eastAsia="en-US"/>
              </w:rPr>
              <w:t>情况具体确定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依</w:t>
            </w:r>
            <w:r>
              <w:rPr>
                <w:rFonts w:hint="eastAsia"/>
                <w:sz w:val="21"/>
                <w:lang w:val="en-US" w:eastAsia="zh-CN"/>
              </w:rPr>
              <w:t>许可</w:t>
            </w:r>
            <w:r>
              <w:rPr>
                <w:sz w:val="21"/>
                <w:lang w:eastAsia="en-US"/>
              </w:rPr>
              <w:t>情况具体确定</w:t>
            </w: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承办科室</w:t>
            </w:r>
          </w:p>
        </w:tc>
        <w:tc>
          <w:tcPr>
            <w:tcW w:w="272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pacing w:val="-3"/>
                <w:w w:val="95"/>
                <w:sz w:val="21"/>
                <w:lang w:eastAsia="en-US"/>
              </w:rPr>
            </w:pPr>
          </w:p>
        </w:tc>
        <w:tc>
          <w:tcPr>
            <w:tcW w:w="3250" w:type="dxa"/>
            <w:vMerge w:val="continue"/>
            <w:vAlign w:val="center"/>
          </w:tcPr>
          <w:p>
            <w:pPr>
              <w:pStyle w:val="9"/>
              <w:spacing w:line="288" w:lineRule="auto"/>
              <w:ind w:left="14" w:right="63"/>
              <w:jc w:val="center"/>
              <w:rPr>
                <w:sz w:val="21"/>
                <w:lang w:eastAsia="en-US"/>
              </w:rPr>
            </w:pPr>
          </w:p>
        </w:tc>
        <w:tc>
          <w:tcPr>
            <w:tcW w:w="15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027" w:type="dxa"/>
            <w:vAlign w:val="center"/>
          </w:tcPr>
          <w:p>
            <w:pPr>
              <w:pStyle w:val="9"/>
              <w:spacing w:before="172" w:line="288" w:lineRule="auto"/>
              <w:ind w:left="14" w:right="6"/>
              <w:jc w:val="both"/>
              <w:rPr>
                <w:sz w:val="21"/>
                <w:lang w:eastAsia="en-US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案件情况疑难复杂、涉及多个法律关系的，存在重大法律疑难问题的行政许可决定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依</w:t>
            </w:r>
            <w:r>
              <w:rPr>
                <w:rFonts w:hint="eastAsia"/>
                <w:sz w:val="21"/>
                <w:lang w:val="en-US" w:eastAsia="zh-CN"/>
              </w:rPr>
              <w:t>许可</w:t>
            </w:r>
            <w:r>
              <w:rPr>
                <w:sz w:val="21"/>
                <w:lang w:eastAsia="en-US"/>
              </w:rPr>
              <w:t>情况具体确定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依</w:t>
            </w:r>
            <w:r>
              <w:rPr>
                <w:rFonts w:hint="eastAsia"/>
                <w:sz w:val="21"/>
                <w:lang w:val="en-US" w:eastAsia="zh-CN"/>
              </w:rPr>
              <w:t>许可</w:t>
            </w:r>
            <w:r>
              <w:rPr>
                <w:sz w:val="21"/>
                <w:lang w:eastAsia="en-US"/>
              </w:rPr>
              <w:t>情况具体确定</w:t>
            </w: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承办科室</w:t>
            </w:r>
          </w:p>
        </w:tc>
        <w:tc>
          <w:tcPr>
            <w:tcW w:w="2724" w:type="dxa"/>
            <w:gridSpan w:val="2"/>
            <w:vMerge w:val="continue"/>
            <w:vAlign w:val="center"/>
          </w:tcPr>
          <w:p>
            <w:pPr>
              <w:pStyle w:val="9"/>
              <w:spacing w:before="114" w:line="288" w:lineRule="auto"/>
              <w:ind w:left="14" w:right="4"/>
              <w:jc w:val="center"/>
              <w:rPr>
                <w:spacing w:val="-3"/>
                <w:w w:val="95"/>
                <w:sz w:val="21"/>
                <w:lang w:eastAsia="en-US"/>
              </w:rPr>
            </w:pPr>
          </w:p>
        </w:tc>
        <w:tc>
          <w:tcPr>
            <w:tcW w:w="3250" w:type="dxa"/>
            <w:vMerge w:val="continue"/>
            <w:vAlign w:val="center"/>
          </w:tcPr>
          <w:p>
            <w:pPr>
              <w:pStyle w:val="9"/>
              <w:spacing w:line="288" w:lineRule="auto"/>
              <w:ind w:left="14" w:right="63"/>
              <w:jc w:val="center"/>
              <w:rPr>
                <w:sz w:val="21"/>
                <w:lang w:eastAsia="en-US"/>
              </w:rPr>
            </w:pPr>
          </w:p>
        </w:tc>
        <w:tc>
          <w:tcPr>
            <w:tcW w:w="15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027" w:type="dxa"/>
            <w:vAlign w:val="center"/>
          </w:tcPr>
          <w:p>
            <w:pPr>
              <w:pStyle w:val="9"/>
              <w:spacing w:line="288" w:lineRule="auto"/>
              <w:ind w:left="14" w:leftChars="0" w:right="195" w:rightChars="0"/>
              <w:jc w:val="both"/>
              <w:rPr>
                <w:sz w:val="21"/>
                <w:lang w:eastAsia="en-US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en-US" w:bidi="ar-SA"/>
              </w:rPr>
              <w:t>法律、法规、规章规定和行政执法机关认为的其他重大行政审批事项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依</w:t>
            </w:r>
            <w:r>
              <w:rPr>
                <w:rFonts w:hint="eastAsia"/>
                <w:sz w:val="21"/>
                <w:lang w:val="en-US" w:eastAsia="zh-CN"/>
              </w:rPr>
              <w:t>许可</w:t>
            </w:r>
            <w:r>
              <w:rPr>
                <w:sz w:val="21"/>
                <w:lang w:eastAsia="en-US"/>
              </w:rPr>
              <w:t>情况具体确定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依</w:t>
            </w:r>
            <w:r>
              <w:rPr>
                <w:rFonts w:hint="eastAsia"/>
                <w:sz w:val="21"/>
                <w:lang w:val="en-US" w:eastAsia="zh-CN"/>
              </w:rPr>
              <w:t>许可</w:t>
            </w:r>
            <w:r>
              <w:rPr>
                <w:sz w:val="21"/>
                <w:lang w:eastAsia="en-US"/>
              </w:rPr>
              <w:t>情况具体确定</w:t>
            </w: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承办科室</w:t>
            </w:r>
          </w:p>
        </w:tc>
        <w:tc>
          <w:tcPr>
            <w:tcW w:w="272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1"/>
                <w:lang w:eastAsia="en-US"/>
              </w:rPr>
            </w:pPr>
          </w:p>
        </w:tc>
        <w:tc>
          <w:tcPr>
            <w:tcW w:w="3250" w:type="dxa"/>
            <w:vMerge w:val="continue"/>
            <w:vAlign w:val="center"/>
          </w:tcPr>
          <w:p>
            <w:pPr>
              <w:pStyle w:val="9"/>
              <w:spacing w:line="288" w:lineRule="auto"/>
              <w:ind w:left="14" w:right="63"/>
              <w:jc w:val="center"/>
              <w:rPr>
                <w:sz w:val="21"/>
                <w:lang w:eastAsia="en-US"/>
              </w:rPr>
            </w:pPr>
          </w:p>
        </w:tc>
        <w:tc>
          <w:tcPr>
            <w:tcW w:w="15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39B969"/>
    <w:multiLevelType w:val="singleLevel"/>
    <w:tmpl w:val="EF39B969"/>
    <w:lvl w:ilvl="0" w:tentative="0">
      <w:start w:val="1"/>
      <w:numFmt w:val="chineseCounting"/>
      <w:suff w:val="space"/>
      <w:lvlText w:val="(%1)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F705BE"/>
    <w:rsid w:val="0538396C"/>
    <w:rsid w:val="089C20B6"/>
    <w:rsid w:val="0A8625C9"/>
    <w:rsid w:val="16501F45"/>
    <w:rsid w:val="1A4F40D0"/>
    <w:rsid w:val="2F2C1FE7"/>
    <w:rsid w:val="2FA106C5"/>
    <w:rsid w:val="3D3044BF"/>
    <w:rsid w:val="483154CA"/>
    <w:rsid w:val="588E0DD0"/>
    <w:rsid w:val="5F4B455C"/>
    <w:rsid w:val="72131E6F"/>
    <w:rsid w:val="72F705BE"/>
    <w:rsid w:val="76703A8F"/>
    <w:rsid w:val="7CDE6022"/>
    <w:rsid w:val="7E4B47E1"/>
    <w:rsid w:val="7FF830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Heading 1"/>
    <w:basedOn w:val="1"/>
    <w:qFormat/>
    <w:uiPriority w:val="1"/>
    <w:pPr>
      <w:spacing w:line="693" w:lineRule="exact"/>
      <w:ind w:left="540"/>
      <w:outlineLvl w:val="1"/>
    </w:pPr>
    <w:rPr>
      <w:rFonts w:ascii="方正粗黑宋简体" w:hAnsi="方正粗黑宋简体" w:eastAsia="方正粗黑宋简体" w:cs="方正粗黑宋简体"/>
      <w:sz w:val="40"/>
      <w:szCs w:val="40"/>
    </w:rPr>
  </w:style>
  <w:style w:type="paragraph" w:customStyle="1" w:styleId="9">
    <w:name w:val="Table Paragraph"/>
    <w:basedOn w:val="1"/>
    <w:qFormat/>
    <w:uiPriority w:val="1"/>
  </w:style>
  <w:style w:type="table" w:customStyle="1" w:styleId="10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2021-07-13T06:59:00Z</dcterms:created>
  <dc:creator>NTKO</dc:creator>
  <cp:lastModifiedBy>Lenovo-01A</cp:lastModifiedBy>
  <cp:lastPrinted>2021-07-19T02:54:00Z</cp:lastPrinted>
  <dcterms:modified xsi:type="dcterms:W3CDTF">2021-07-19T03:34:37Z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