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曲靖市麒麟区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白石江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行政执法公示事项清单</w:t>
      </w:r>
    </w:p>
    <w:tbl>
      <w:tblPr>
        <w:tblStyle w:val="5"/>
        <w:tblpPr w:leftFromText="180" w:rightFromText="180" w:vertAnchor="text" w:horzAnchor="page" w:tblpX="1093" w:tblpY="311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82"/>
        <w:gridCol w:w="1902"/>
        <w:gridCol w:w="2003"/>
        <w:gridCol w:w="2935"/>
        <w:gridCol w:w="2295"/>
        <w:gridCol w:w="122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公示环节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公示事项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公示主体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公示内容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公示途径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公示对象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公示期限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6" w:type="dxa"/>
            <w:vAlign w:val="center"/>
          </w:tcPr>
          <w:p>
            <w:r>
              <w:t>1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事前公开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执法主体及执法依据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街道办事处、办公地址、联系方式及主要执法依据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726" w:type="dxa"/>
            <w:vAlign w:val="center"/>
          </w:tcPr>
          <w:p>
            <w:r>
              <w:t>2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事前公开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执法人员清单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街道办事处行政执法人员的姓名、职务、执法证号等信息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26" w:type="dxa"/>
            <w:vAlign w:val="center"/>
          </w:tcPr>
          <w:p>
            <w:r>
              <w:t>3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事前公开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权责清单</w:t>
            </w:r>
          </w:p>
        </w:tc>
        <w:tc>
          <w:tcPr>
            <w:tcW w:w="2003" w:type="dxa"/>
            <w:vAlign w:val="center"/>
          </w:tcPr>
          <w:p>
            <w:r>
              <w:t>权力和责任清单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本部门权力和责任清单（包括执法依据、监督举报、救济方式等）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26" w:type="dxa"/>
            <w:vAlign w:val="center"/>
          </w:tcPr>
          <w:p>
            <w:r>
              <w:t>4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事前公开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执法流程图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行政执法</w:t>
            </w:r>
            <w:r>
              <w:t>运行流程图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26" w:type="dxa"/>
            <w:vAlign w:val="center"/>
          </w:tcPr>
          <w:p>
            <w:r>
              <w:t>5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事中公开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服务场所有关信息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岗位信息公示牌、申请材料示范文本等。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政务服务场所和执法场所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行政相对人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工作期间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6" w:type="dxa"/>
            <w:vAlign w:val="center"/>
          </w:tcPr>
          <w:p>
            <w:r>
              <w:t>6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事中公开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执法</w:t>
            </w:r>
          </w:p>
          <w:p>
            <w:r>
              <w:rPr>
                <w:rFonts w:hint="eastAsia"/>
              </w:rPr>
              <w:t>证件及文书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执法人员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执法人员的执法证件、执法文书。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现场出示执法证件，出具执法文书。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行政相对人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执法期间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26" w:type="dxa"/>
            <w:vAlign w:val="center"/>
          </w:tcPr>
          <w:p>
            <w:r>
              <w:t>7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事中公开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行政相对人</w:t>
            </w:r>
          </w:p>
          <w:p>
            <w:r>
              <w:rPr>
                <w:rFonts w:hint="eastAsia"/>
              </w:rPr>
              <w:t>的权利和义务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执法人员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具体执法事项涉及的行政相对人权利和义务。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口头或书面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行政相对人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执法期间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726" w:type="dxa"/>
            <w:vAlign w:val="center"/>
          </w:tcPr>
          <w:p>
            <w:r>
              <w:t>8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事后公开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行政处罚、行政检查等执法结果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行政处罚。包括行政处罚决定书案号，案件名称，被处罚的自然人姓名，被处罚的企业或其他组织的名称和组织机构代码、法定代表人（负责人）姓名，主要违法事实，行政处罚的种类和依据，行政处罚的履行方式和期限，作出处罚决定的行政执法机关名称和日期。行政检查。行政检查对象、检查依据、检查方式、检查时间、检查事项、检查内容、存在问题以及整改情况。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行政处罚信息的公示期限原则上为</w:t>
            </w:r>
            <w:r>
              <w:t xml:space="preserve"> 1</w:t>
            </w:r>
            <w:r>
              <w:rPr>
                <w:rFonts w:hint="eastAsia"/>
              </w:rPr>
              <w:t>年，涉及失信行为或其它重大违法的照相关规定法律、法规、规章或相关文件</w:t>
            </w:r>
          </w:p>
          <w:p>
            <w:r>
              <w:rPr>
                <w:rFonts w:hint="eastAsia"/>
              </w:rPr>
              <w:t>另有规定的从其规定。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26" w:type="dxa"/>
            <w:vAlign w:val="center"/>
          </w:tcPr>
          <w:p>
            <w:r>
              <w:t>9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事后公开</w:t>
            </w:r>
          </w:p>
        </w:tc>
        <w:tc>
          <w:tcPr>
            <w:tcW w:w="1902" w:type="dxa"/>
            <w:vAlign w:val="center"/>
          </w:tcPr>
          <w:p>
            <w:r>
              <w:rPr>
                <w:rFonts w:hint="eastAsia"/>
              </w:rPr>
              <w:t>部门年度执法数据</w:t>
            </w:r>
          </w:p>
        </w:tc>
        <w:tc>
          <w:tcPr>
            <w:tcW w:w="2003" w:type="dxa"/>
            <w:vAlign w:val="center"/>
          </w:tcPr>
          <w:p>
            <w:r>
              <w:rPr>
                <w:rFonts w:hint="eastAsia"/>
              </w:rPr>
              <w:t>曲靖市麒麟区</w:t>
            </w:r>
            <w:r>
              <w:rPr>
                <w:rFonts w:hint="eastAsia"/>
                <w:lang w:eastAsia="zh-CN"/>
              </w:rPr>
              <w:t>白石江</w:t>
            </w:r>
            <w:r>
              <w:rPr>
                <w:rFonts w:hint="eastAsia"/>
              </w:rPr>
              <w:t>街道办事处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汇总、统计本部门年度执法数据后进行公开</w:t>
            </w:r>
          </w:p>
        </w:tc>
        <w:tc>
          <w:tcPr>
            <w:tcW w:w="2295" w:type="dxa"/>
            <w:vAlign w:val="center"/>
          </w:tcPr>
          <w:p>
            <w:r>
              <w:rPr>
                <w:rFonts w:hint="eastAsia"/>
              </w:rPr>
              <w:t>麒麟区人民政府门户网站</w:t>
            </w:r>
          </w:p>
        </w:tc>
        <w:tc>
          <w:tcPr>
            <w:tcW w:w="1221" w:type="dxa"/>
            <w:vAlign w:val="center"/>
          </w:tcPr>
          <w:p>
            <w:r>
              <w:rPr>
                <w:rFonts w:hint="eastAsia"/>
              </w:rPr>
              <w:t>社会公众</w:t>
            </w:r>
          </w:p>
        </w:tc>
        <w:tc>
          <w:tcPr>
            <w:tcW w:w="2064" w:type="dxa"/>
            <w:vAlign w:val="center"/>
          </w:tcPr>
          <w:p>
            <w:r>
              <w:rPr>
                <w:rFonts w:hint="eastAsia"/>
              </w:rPr>
              <w:t>长</w:t>
            </w:r>
            <w:r>
              <w:tab/>
            </w:r>
            <w:r>
              <w:rPr>
                <w:rFonts w:hint="eastAsia"/>
              </w:rPr>
              <w:t>期</w:t>
            </w:r>
          </w:p>
        </w:tc>
      </w:tr>
    </w:tbl>
    <w:p/>
    <w:p/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曲靖市麒麟区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白石江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街道办事处音像记录事项清单</w:t>
      </w:r>
    </w:p>
    <w:tbl>
      <w:tblPr>
        <w:tblStyle w:val="4"/>
        <w:tblpPr w:leftFromText="180" w:rightFromText="180" w:vertAnchor="text" w:horzAnchor="page" w:tblpX="1020" w:tblpY="328"/>
        <w:tblOverlap w:val="never"/>
        <w:tblW w:w="14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40"/>
        <w:gridCol w:w="1408"/>
        <w:gridCol w:w="1292"/>
        <w:gridCol w:w="1980"/>
        <w:gridCol w:w="4155"/>
        <w:gridCol w:w="162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执法类别</w:t>
            </w: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执法环节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记录载体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记录内容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记录部门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</w:t>
            </w: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接受受理材料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照相机、视频监控设备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政务服务窗口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/>
              </w:rPr>
              <w:t>记录申请人申请，执法服务人员接收、当场更正、告知补正、审查受理等环节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行政许可执法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ind w:left="105" w:leftChars="50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行政许可申请人和利害关系人当面口头陈述、申辩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录音机、摄像机、执法记录仪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陈述申辩场所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记录行政许可申请人和利害关系人申辩全过程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行政许可执法办、中心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ind w:left="105" w:leftChars="50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行政许可听证会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摄像机、视频监控设备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听证场所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记录听证全过程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行政许可执法办、中心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ind w:left="105" w:leftChars="50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行政许可专家论证会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摄像机、视频监控设备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专家论证场所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专家论证全过程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行政许可执法办、中心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5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</w:p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行政处罚</w:t>
            </w: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现场检查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hint="eastAsia" w:ascii="宋体" w:hAnsi="宋体" w:eastAsia="宋体" w:cs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照相机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检查场所现场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涉行政处罚办、中心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ind w:left="105" w:leftChars="50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现场取证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hint="eastAsia" w:ascii="宋体" w:hAnsi="宋体" w:eastAsia="宋体" w:cs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照相机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检查场所现场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涉行政处罚办、中心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ind w:left="105" w:leftChars="50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先行登记保存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照相机、执法记录仪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取证现场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对现行登记保存的证据物品编号、名称、规 格（型号）或者地址、单位、数量或者面积和执行情况进行全过程记录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涉行政处罚办、中心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autoSpaceDE/>
              <w:autoSpaceDN/>
              <w:ind w:left="105" w:leftChars="50"/>
              <w:rPr>
                <w:rFonts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行政执法人员</w:t>
            </w:r>
          </w:p>
        </w:tc>
      </w:tr>
    </w:tbl>
    <w:p>
      <w:pPr>
        <w:pStyle w:val="2"/>
        <w:spacing w:before="5"/>
      </w:pPr>
    </w:p>
    <w:tbl>
      <w:tblPr>
        <w:tblStyle w:val="4"/>
        <w:tblW w:w="14415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40"/>
        <w:gridCol w:w="1260"/>
        <w:gridCol w:w="1440"/>
        <w:gridCol w:w="1980"/>
        <w:gridCol w:w="4155"/>
        <w:gridCol w:w="162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陈述申辩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陈述申辩场所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记录当事人陈述申辩全过程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100"/>
              <w:ind w:lef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涉行政处罚办、中心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1" w:line="156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对责令改正情况的现场核查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81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照相机、执法记录仪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99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核查现场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99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对改正的情况进行全过程记录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99"/>
              <w:ind w:left="108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行政处罚执法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0" w:line="156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当事人不配合调查的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99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80" w:line="156" w:lineRule="auto"/>
              <w:ind w:left="106" w:right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对进入调查取证场所、表明身份、出示执法证件当事人拒绝接受检查的全过程记录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99"/>
              <w:ind w:left="108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行政处罚执法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4" w:line="153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行政处罚听证会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84" w:line="153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摄像机、视频监控设备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听证场所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记录听证全过程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100"/>
              <w:ind w:lef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党政办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听证记录人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99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before="180" w:line="156" w:lineRule="auto"/>
              <w:ind w:left="106" w:right="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行政检查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0" w:line="156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双随机抽取过程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80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执法记录仪、摄像机、视频监控设备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99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随机抽取现场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80" w:line="156" w:lineRule="auto"/>
              <w:ind w:left="106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对抽取检查对象和随机抽取执法检查人员的全过程记录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99"/>
              <w:ind w:left="108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行政检查执法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办、中心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80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行政执法检查人员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156" w:lineRule="auto"/>
              <w:ind w:left="106" w:right="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送达环节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4" w:line="153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政务服务窗口送达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照相机、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音视频监控设备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政务服务窗口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记录审批决定送达过程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100"/>
              <w:ind w:left="1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相关执法机构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98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80" w:line="156" w:lineRule="auto"/>
              <w:ind w:left="107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留置送达过程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80" w:line="156" w:lineRule="auto"/>
              <w:ind w:left="107" w:right="97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照相机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98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送达现场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80" w:line="156" w:lineRule="auto"/>
              <w:ind w:left="106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对邀请基层自治组织或者受送达人所在单位的代表情况，说明送达情况，在送达回执 上几名拒收事由和日期，由送达人、见证人 签字或者盖章，将文书留在受送达人的住所全过程进行记录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180" w:line="156" w:lineRule="auto"/>
              <w:ind w:left="108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相关执法机构送达相应执法文书、执法监督机构送达行政处罚听证通知书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80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行政执法人员、执法监督机构人员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邮寄送达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84" w:line="153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照相机、摄像机、执法记录仪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邮寄场所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84" w:line="153" w:lineRule="auto"/>
              <w:ind w:left="106" w:right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对交寄物品、交寄时间和送达结果等进行音像记录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spacing w:before="182" w:line="156" w:lineRule="auto"/>
              <w:ind w:left="108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相关执法机构送达相应执法文书、执法监督机构送达行政处罚听证通知书</w:t>
            </w: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82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行政执法人员、执法监督机构人员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65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公告送达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100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照相机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100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办公场所</w:t>
            </w:r>
          </w:p>
        </w:tc>
        <w:tc>
          <w:tcPr>
            <w:tcW w:w="4155" w:type="dxa"/>
            <w:vAlign w:val="center"/>
          </w:tcPr>
          <w:p>
            <w:pPr>
              <w:pStyle w:val="6"/>
              <w:spacing w:before="184" w:line="153" w:lineRule="auto"/>
              <w:ind w:left="106" w:right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对发布公告的报纸、发布公告的网站等送达凭证进行记录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6"/>
              <w:spacing w:before="182" w:line="156" w:lineRule="auto"/>
              <w:ind w:left="107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行政执法人员、执法监督机构人员</w:t>
            </w:r>
          </w:p>
        </w:tc>
      </w:tr>
    </w:tbl>
    <w:p>
      <w:pPr>
        <w:pStyle w:val="2"/>
        <w:spacing w:before="5"/>
        <w:jc w:val="center"/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spacing w:before="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曲靖市麒麟区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白石江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街道办事处重大行政执法决定法制审核目录清单</w:t>
      </w:r>
    </w:p>
    <w:tbl>
      <w:tblPr>
        <w:tblStyle w:val="5"/>
        <w:tblW w:w="15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848"/>
        <w:gridCol w:w="1524"/>
        <w:gridCol w:w="1296"/>
        <w:gridCol w:w="2520"/>
        <w:gridCol w:w="306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执法项目大类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审核的具体执法决定项目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依据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提交部门</w:t>
            </w:r>
          </w:p>
        </w:tc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应提交的审核资料</w:t>
            </w:r>
          </w:p>
        </w:tc>
        <w:tc>
          <w:tcPr>
            <w:tcW w:w="3060" w:type="dxa"/>
            <w:vAlign w:val="center"/>
          </w:tcPr>
          <w:p>
            <w:r>
              <w:rPr>
                <w:rFonts w:hint="eastAsia"/>
              </w:rPr>
              <w:t>审核重点</w:t>
            </w:r>
          </w:p>
        </w:tc>
        <w:tc>
          <w:tcPr>
            <w:tcW w:w="1849" w:type="dxa"/>
            <w:vAlign w:val="center"/>
          </w:tcPr>
          <w:p>
            <w:r>
              <w:rPr>
                <w:rFonts w:hint="eastAsia"/>
              </w:rPr>
              <w:t>审核科室或审核人员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28" w:type="dxa"/>
            <w:vAlign w:val="center"/>
          </w:tcPr>
          <w:p>
            <w:r>
              <w:t>1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实施行政处罚等行政决定依法组织听证事项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restart"/>
            <w:vAlign w:val="center"/>
          </w:tcPr>
          <w:p>
            <w:r>
              <w:rPr>
                <w:rFonts w:hint="eastAsia"/>
              </w:rPr>
              <w:t>提交调查终结报告、重大行政执法决定建议意见及情况说明、执法决定书代拟稿、听证笔录、相关证据资料、经听证或评估的还应当提交听证笔录或评估报告、其他需要提交的材料。</w:t>
            </w:r>
          </w:p>
          <w:p/>
        </w:tc>
        <w:tc>
          <w:tcPr>
            <w:tcW w:w="3060" w:type="dxa"/>
            <w:vMerge w:val="restart"/>
            <w:vAlign w:val="center"/>
          </w:tcPr>
          <w:p>
            <w:r>
              <w:rPr>
                <w:rFonts w:hint="eastAsia"/>
              </w:rPr>
              <w:t>（一）是否属于本单位职权范围，行政执法主体是否合法；</w:t>
            </w:r>
          </w:p>
          <w:p>
            <w:r>
              <w:rPr>
                <w:rFonts w:hint="eastAsia"/>
              </w:rPr>
              <w:t>（二）行政执法人员是否具备执法资格；</w:t>
            </w:r>
          </w:p>
          <w:p>
            <w:r>
              <w:rPr>
                <w:rFonts w:hint="eastAsia"/>
              </w:rPr>
              <w:t>（三）主要事实是否清楚、证据是否确凿、充分；</w:t>
            </w:r>
          </w:p>
          <w:p>
            <w:r>
              <w:rPr>
                <w:rFonts w:hint="eastAsia"/>
              </w:rPr>
              <w:t>（四）适用法律、法规规章是否准确；</w:t>
            </w:r>
          </w:p>
          <w:p>
            <w:r>
              <w:rPr>
                <w:rFonts w:hint="eastAsia"/>
              </w:rPr>
              <w:t>（五）执行裁量基准是否适当；</w:t>
            </w:r>
          </w:p>
          <w:p>
            <w:r>
              <w:rPr>
                <w:rFonts w:hint="eastAsia"/>
              </w:rPr>
              <w:t>（六）程序是否合法；</w:t>
            </w:r>
          </w:p>
          <w:p>
            <w:r>
              <w:rPr>
                <w:rFonts w:hint="eastAsia"/>
              </w:rPr>
              <w:t>（七）行政执法文书是否规范、齐备；</w:t>
            </w:r>
          </w:p>
          <w:p>
            <w:r>
              <w:rPr>
                <w:rFonts w:hint="eastAsia"/>
              </w:rPr>
              <w:t>（八）是否有超越职权范围或者滥用职权的情形；</w:t>
            </w:r>
          </w:p>
          <w:p>
            <w:r>
              <w:rPr>
                <w:rFonts w:hint="eastAsia"/>
              </w:rPr>
              <w:t>（九）违法行为是否涉嫌犯罪需要移送司法机关；</w:t>
            </w:r>
          </w:p>
          <w:p>
            <w:r>
              <w:rPr>
                <w:rFonts w:hint="eastAsia"/>
              </w:rPr>
              <w:t>（十）其他需要审核的内容。</w:t>
            </w:r>
          </w:p>
        </w:tc>
        <w:tc>
          <w:tcPr>
            <w:tcW w:w="1849" w:type="dxa"/>
            <w:vMerge w:val="restart"/>
            <w:vAlign w:val="center"/>
          </w:tcPr>
          <w:p>
            <w:r>
              <w:rPr>
                <w:rFonts w:hint="eastAsia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对法人或者其他组织处以</w:t>
            </w:r>
            <w:r>
              <w:t>10</w:t>
            </w:r>
            <w:r>
              <w:rPr>
                <w:rFonts w:hint="eastAsia"/>
              </w:rPr>
              <w:t>万元以上、对公民处以</w:t>
            </w:r>
            <w:r>
              <w:t>5000</w:t>
            </w:r>
            <w:r>
              <w:rPr>
                <w:rFonts w:hint="eastAsia"/>
              </w:rPr>
              <w:t>元以上罚款等重大行政处罚事项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continue"/>
            <w:vAlign w:val="center"/>
          </w:tcPr>
          <w:p/>
        </w:tc>
        <w:tc>
          <w:tcPr>
            <w:tcW w:w="3060" w:type="dxa"/>
            <w:vMerge w:val="continue"/>
            <w:vAlign w:val="center"/>
          </w:tcPr>
          <w:p/>
        </w:tc>
        <w:tc>
          <w:tcPr>
            <w:tcW w:w="184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/>
          <w:p>
            <w:r>
              <w:rPr>
                <w:rFonts w:hint="eastAsia"/>
              </w:rPr>
              <w:t>行政执法事项敏感或者涉及当事人、利害关系人人数达</w:t>
            </w:r>
            <w:r>
              <w:t>10</w:t>
            </w:r>
            <w:r>
              <w:rPr>
                <w:rFonts w:hint="eastAsia"/>
              </w:rPr>
              <w:t>人以上，可能造成重大社会影响或引发社会风险事项</w:t>
            </w:r>
          </w:p>
          <w:p/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continue"/>
            <w:vAlign w:val="center"/>
          </w:tcPr>
          <w:p/>
        </w:tc>
        <w:tc>
          <w:tcPr>
            <w:tcW w:w="3060" w:type="dxa"/>
            <w:vMerge w:val="continue"/>
            <w:vAlign w:val="center"/>
          </w:tcPr>
          <w:p/>
        </w:tc>
        <w:tc>
          <w:tcPr>
            <w:tcW w:w="184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行政执法事项涉及多个法律关系，存在法律适用疑难、情节复杂或者定性存在较大争议事项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依执法检查情况具体确定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restart"/>
            <w:vAlign w:val="center"/>
          </w:tcPr>
          <w:p>
            <w:r>
              <w:rPr>
                <w:rFonts w:hint="eastAsia"/>
              </w:rPr>
              <w:t>提交调查终结报告、重大行政执法决定建议意见及情况说明、执法决定书代拟稿、听证笔录、相关证据资料、经听证或评估的还应当提交听证笔录或评估报告、其他需要提交的材料。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spacing w:line="260" w:lineRule="exact"/>
            </w:pPr>
            <w:r>
              <w:t>(</w:t>
            </w:r>
            <w:r>
              <w:rPr>
                <w:rFonts w:hint="eastAsia"/>
              </w:rPr>
              <w:t>一</w:t>
            </w:r>
            <w:r>
              <w:t xml:space="preserve">) </w:t>
            </w:r>
            <w:r>
              <w:rPr>
                <w:rFonts w:hint="eastAsia"/>
              </w:rPr>
              <w:t>是否属于本单位职权范围，行政执法主体是否合法；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（二）行政执法人员是否具备执法资格；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（三）主要事实是否清楚、证据是否确凿、充分；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（四）适用法律、法规规章是否准确；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（五）执行裁量基准是否适当；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（六）程序是否合法；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（七）行政执法文书是否规范、齐备；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（八）是否有超越职权范围或者滥用职权的情形；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（九）违法行为是否涉嫌犯罪需要移送司法机关；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（十）其他需要审核的内容。</w:t>
            </w:r>
          </w:p>
        </w:tc>
        <w:tc>
          <w:tcPr>
            <w:tcW w:w="1849" w:type="dxa"/>
            <w:vMerge w:val="restart"/>
            <w:vAlign w:val="center"/>
          </w:tcPr>
          <w:p>
            <w:r>
              <w:rPr>
                <w:rFonts w:hint="eastAsia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国务院、省、市、区政府实施督办的重大案件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视工作情况具体确定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视工作情况具体确定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spacing w:line="260" w:lineRule="exact"/>
            </w:pPr>
          </w:p>
        </w:tc>
        <w:tc>
          <w:tcPr>
            <w:tcW w:w="3060" w:type="dxa"/>
            <w:vMerge w:val="continue"/>
            <w:vAlign w:val="center"/>
          </w:tcPr>
          <w:p/>
        </w:tc>
        <w:tc>
          <w:tcPr>
            <w:tcW w:w="184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其他法律、法规、规章规定应当进行法制审核事项</w:t>
            </w:r>
          </w:p>
        </w:tc>
        <w:tc>
          <w:tcPr>
            <w:tcW w:w="1848" w:type="dxa"/>
            <w:vAlign w:val="center"/>
          </w:tcPr>
          <w:p>
            <w:r>
              <w:rPr>
                <w:rFonts w:hint="eastAsia"/>
              </w:rPr>
              <w:t>视工作情况具体确定</w:t>
            </w:r>
          </w:p>
        </w:tc>
        <w:tc>
          <w:tcPr>
            <w:tcW w:w="1524" w:type="dxa"/>
            <w:vAlign w:val="center"/>
          </w:tcPr>
          <w:p>
            <w:r>
              <w:rPr>
                <w:rFonts w:hint="eastAsia"/>
              </w:rPr>
              <w:t>视工作情况具体确定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涉行政执法办、中心</w:t>
            </w:r>
          </w:p>
        </w:tc>
        <w:tc>
          <w:tcPr>
            <w:tcW w:w="2520" w:type="dxa"/>
            <w:vMerge w:val="continue"/>
            <w:vAlign w:val="center"/>
          </w:tcPr>
          <w:p/>
        </w:tc>
        <w:tc>
          <w:tcPr>
            <w:tcW w:w="3060" w:type="dxa"/>
            <w:vMerge w:val="continue"/>
            <w:vAlign w:val="center"/>
          </w:tcPr>
          <w:p/>
        </w:tc>
        <w:tc>
          <w:tcPr>
            <w:tcW w:w="1849" w:type="dxa"/>
            <w:vMerge w:val="continue"/>
            <w:vAlign w:val="center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46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2021-07-30T01:41:20Z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