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sz w:val="44"/>
          <w:szCs w:val="44"/>
        </w:rPr>
      </w:pPr>
      <w:r>
        <w:rPr>
          <w:rFonts w:hint="eastAsia" w:ascii="方正小标宋简体" w:hAnsi="仿宋" w:eastAsia="方正小标宋简体"/>
          <w:sz w:val="44"/>
          <w:szCs w:val="44"/>
        </w:rPr>
        <w:t>20</w:t>
      </w:r>
      <w:r>
        <w:rPr>
          <w:rFonts w:hint="eastAsia" w:ascii="方正小标宋简体" w:hAnsi="仿宋" w:eastAsia="方正小标宋简体"/>
          <w:sz w:val="44"/>
          <w:szCs w:val="44"/>
          <w:lang w:val="en-US" w:eastAsia="zh-CN"/>
        </w:rPr>
        <w:t>20</w:t>
      </w:r>
      <w:r>
        <w:rPr>
          <w:rFonts w:hint="eastAsia" w:ascii="方正小标宋简体" w:hAnsi="仿宋" w:eastAsia="方正小标宋简体"/>
          <w:sz w:val="44"/>
          <w:szCs w:val="44"/>
        </w:rPr>
        <w:t>年度</w:t>
      </w:r>
      <w:r>
        <w:rPr>
          <w:rFonts w:hint="eastAsia" w:ascii="方正小标宋简体" w:hAnsi="仿宋" w:eastAsia="方正小标宋简体"/>
          <w:sz w:val="44"/>
          <w:szCs w:val="44"/>
          <w:lang w:eastAsia="zh-CN"/>
        </w:rPr>
        <w:t>麒麟区</w:t>
      </w:r>
      <w:r>
        <w:rPr>
          <w:rFonts w:hint="eastAsia" w:ascii="方正小标宋简体" w:hAnsi="仿宋" w:eastAsia="方正小标宋简体"/>
          <w:sz w:val="44"/>
          <w:szCs w:val="44"/>
        </w:rPr>
        <w:t>政府决算公开工作总结</w:t>
      </w:r>
    </w:p>
    <w:p>
      <w:pPr>
        <w:jc w:val="center"/>
        <w:rPr>
          <w:rFonts w:ascii="仿宋" w:hAnsi="仿宋" w:eastAsia="仿宋"/>
          <w:sz w:val="32"/>
          <w:szCs w:val="32"/>
        </w:rPr>
      </w:pPr>
    </w:p>
    <w:p>
      <w:pPr>
        <w:ind w:firstLine="645"/>
        <w:rPr>
          <w:rFonts w:ascii="楷体" w:hAnsi="楷体" w:eastAsia="楷体"/>
          <w:sz w:val="32"/>
          <w:szCs w:val="32"/>
        </w:rPr>
      </w:pPr>
      <w:r>
        <w:rPr>
          <w:rFonts w:hint="eastAsia" w:ascii="仿宋" w:hAnsi="仿宋" w:eastAsia="仿宋"/>
          <w:sz w:val="32"/>
          <w:szCs w:val="32"/>
        </w:rPr>
        <w:t>为进一步增强政府预决算透明度，提升预决算管理水平，更好地保障公民的知情权、参与权和监督权，按照《财政部关于深入推进地方预决算公开工作的通知》有关要求、市财政局预决算信息公开工作的统一部署，</w:t>
      </w:r>
      <w:r>
        <w:rPr>
          <w:rFonts w:hint="eastAsia" w:ascii="仿宋" w:hAnsi="仿宋" w:eastAsia="仿宋"/>
          <w:sz w:val="32"/>
          <w:szCs w:val="32"/>
          <w:lang w:eastAsia="zh-CN"/>
        </w:rPr>
        <w:t>麒麟区</w:t>
      </w:r>
      <w:r>
        <w:rPr>
          <w:rFonts w:hint="eastAsia" w:ascii="仿宋" w:hAnsi="仿宋" w:eastAsia="仿宋"/>
          <w:sz w:val="32"/>
          <w:szCs w:val="32"/>
        </w:rPr>
        <w:t>多措并举推进财政预决算公开，积极树立和加快打造阳光财政，现将2</w:t>
      </w:r>
      <w:r>
        <w:rPr>
          <w:rFonts w:ascii="仿宋" w:hAnsi="仿宋" w:eastAsia="仿宋"/>
          <w:sz w:val="32"/>
          <w:szCs w:val="32"/>
        </w:rPr>
        <w:t>0</w:t>
      </w:r>
      <w:r>
        <w:rPr>
          <w:rFonts w:hint="eastAsia" w:ascii="仿宋" w:hAnsi="仿宋" w:eastAsia="仿宋"/>
          <w:sz w:val="32"/>
          <w:szCs w:val="32"/>
          <w:lang w:val="en-US" w:eastAsia="zh-CN"/>
        </w:rPr>
        <w:t>20</w:t>
      </w:r>
      <w:r>
        <w:rPr>
          <w:rFonts w:hint="eastAsia" w:ascii="仿宋" w:hAnsi="仿宋" w:eastAsia="仿宋"/>
          <w:sz w:val="32"/>
          <w:szCs w:val="32"/>
        </w:rPr>
        <w:t>年度政府决算公开情况总结如下：</w:t>
      </w:r>
      <w:r>
        <w:rPr>
          <w:rFonts w:ascii="楷体" w:hAnsi="楷体" w:eastAsia="楷体"/>
          <w:sz w:val="32"/>
          <w:szCs w:val="32"/>
        </w:rPr>
        <w:t xml:space="preserve"> </w:t>
      </w:r>
    </w:p>
    <w:p>
      <w:pPr>
        <w:ind w:firstLine="645"/>
        <w:rPr>
          <w:rFonts w:ascii="黑体" w:hAnsi="黑体" w:eastAsia="黑体"/>
          <w:sz w:val="32"/>
          <w:szCs w:val="32"/>
        </w:rPr>
      </w:pPr>
      <w:r>
        <w:rPr>
          <w:rFonts w:hint="eastAsia" w:ascii="黑体" w:hAnsi="黑体" w:eastAsia="黑体"/>
          <w:sz w:val="32"/>
          <w:szCs w:val="32"/>
        </w:rPr>
        <w:t>一、公开的总体情况</w:t>
      </w:r>
      <w:bookmarkStart w:id="0" w:name="_GoBack"/>
      <w:bookmarkEnd w:id="0"/>
    </w:p>
    <w:p>
      <w:pPr>
        <w:ind w:firstLine="640" w:firstLineChars="200"/>
        <w:rPr>
          <w:rFonts w:ascii="楷体" w:hAnsi="楷体" w:eastAsia="楷体"/>
          <w:sz w:val="32"/>
          <w:szCs w:val="32"/>
        </w:rPr>
      </w:pPr>
      <w:r>
        <w:rPr>
          <w:rFonts w:ascii="楷体" w:hAnsi="楷体" w:eastAsia="楷体"/>
          <w:sz w:val="32"/>
          <w:szCs w:val="32"/>
        </w:rPr>
        <w:t>1</w:t>
      </w:r>
      <w:r>
        <w:rPr>
          <w:rFonts w:hint="eastAsia" w:ascii="楷体" w:hAnsi="楷体" w:eastAsia="楷体"/>
          <w:sz w:val="32"/>
          <w:szCs w:val="32"/>
        </w:rPr>
        <w:t>、</w:t>
      </w:r>
      <w:r>
        <w:rPr>
          <w:rFonts w:hint="eastAsia" w:ascii="楷体" w:hAnsi="楷体" w:eastAsia="楷体"/>
        </w:rPr>
        <w:t xml:space="preserve"> </w:t>
      </w:r>
      <w:r>
        <w:rPr>
          <w:rFonts w:hint="eastAsia" w:ascii="楷体" w:hAnsi="楷体" w:eastAsia="楷体"/>
          <w:sz w:val="32"/>
          <w:szCs w:val="32"/>
        </w:rPr>
        <w:t>公开时间及方式</w:t>
      </w:r>
    </w:p>
    <w:p>
      <w:pPr>
        <w:ind w:firstLine="640" w:firstLineChars="200"/>
        <w:rPr>
          <w:rStyle w:val="5"/>
          <w:rFonts w:hint="eastAsia"/>
        </w:rPr>
      </w:pPr>
      <w:r>
        <w:rPr>
          <w:rFonts w:hint="eastAsia" w:ascii="仿宋" w:hAnsi="仿宋" w:eastAsia="仿宋"/>
          <w:sz w:val="32"/>
          <w:szCs w:val="32"/>
        </w:rPr>
        <w:t>2</w:t>
      </w:r>
      <w:r>
        <w:rPr>
          <w:rFonts w:ascii="仿宋" w:hAnsi="仿宋" w:eastAsia="仿宋"/>
          <w:sz w:val="32"/>
          <w:szCs w:val="32"/>
        </w:rPr>
        <w:t>020</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w:t>
      </w:r>
      <w:r>
        <w:rPr>
          <w:rFonts w:hint="eastAsia" w:ascii="仿宋" w:hAnsi="仿宋" w:eastAsia="仿宋"/>
          <w:sz w:val="32"/>
          <w:szCs w:val="32"/>
          <w:lang w:val="en-US" w:eastAsia="zh-CN"/>
        </w:rPr>
        <w:t>22</w:t>
      </w:r>
      <w:r>
        <w:rPr>
          <w:rFonts w:hint="eastAsia" w:ascii="仿宋" w:hAnsi="仿宋" w:eastAsia="仿宋"/>
          <w:sz w:val="32"/>
          <w:szCs w:val="32"/>
        </w:rPr>
        <w:t>日</w:t>
      </w:r>
      <w:r>
        <w:rPr>
          <w:rFonts w:hint="eastAsia" w:ascii="仿宋" w:hAnsi="仿宋" w:eastAsia="仿宋"/>
          <w:sz w:val="32"/>
          <w:szCs w:val="32"/>
          <w:lang w:eastAsia="zh-CN"/>
        </w:rPr>
        <w:t>麒麟区</w:t>
      </w:r>
      <w:r>
        <w:rPr>
          <w:rFonts w:hint="eastAsia" w:ascii="仿宋" w:hAnsi="仿宋" w:eastAsia="仿宋"/>
          <w:sz w:val="32"/>
          <w:szCs w:val="32"/>
        </w:rPr>
        <w:t>人代会批复了《关于</w:t>
      </w:r>
      <w:r>
        <w:rPr>
          <w:rFonts w:hint="eastAsia" w:ascii="仿宋" w:hAnsi="仿宋" w:eastAsia="仿宋"/>
          <w:sz w:val="32"/>
          <w:szCs w:val="32"/>
          <w:lang w:eastAsia="zh-CN"/>
        </w:rPr>
        <w:t>麒麟区</w:t>
      </w: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年地方财政预算执行情况和202</w:t>
      </w:r>
      <w:r>
        <w:rPr>
          <w:rFonts w:hint="eastAsia" w:ascii="仿宋" w:hAnsi="仿宋" w:eastAsia="仿宋"/>
          <w:sz w:val="32"/>
          <w:szCs w:val="32"/>
          <w:lang w:val="en-US" w:eastAsia="zh-CN"/>
        </w:rPr>
        <w:t>1</w:t>
      </w:r>
      <w:r>
        <w:rPr>
          <w:rFonts w:hint="eastAsia" w:ascii="仿宋" w:hAnsi="仿宋" w:eastAsia="仿宋"/>
          <w:sz w:val="32"/>
          <w:szCs w:val="32"/>
        </w:rPr>
        <w:t>年地方财政预算（草案）的报告》后，</w:t>
      </w:r>
      <w:r>
        <w:rPr>
          <w:rFonts w:hint="eastAsia" w:ascii="仿宋" w:hAnsi="仿宋" w:eastAsia="仿宋"/>
          <w:sz w:val="32"/>
          <w:szCs w:val="32"/>
          <w:lang w:eastAsia="zh-CN"/>
        </w:rPr>
        <w:t>我区</w:t>
      </w:r>
      <w:r>
        <w:rPr>
          <w:rFonts w:hint="eastAsia" w:ascii="仿宋" w:hAnsi="仿宋" w:eastAsia="仿宋"/>
          <w:sz w:val="32"/>
          <w:szCs w:val="32"/>
        </w:rPr>
        <w:t>于2</w:t>
      </w:r>
      <w:r>
        <w:rPr>
          <w:rFonts w:ascii="仿宋" w:hAnsi="仿宋" w:eastAsia="仿宋"/>
          <w:sz w:val="32"/>
          <w:szCs w:val="32"/>
        </w:rPr>
        <w:t>02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 w:hAnsi="仿宋" w:eastAsia="仿宋"/>
          <w:sz w:val="32"/>
          <w:szCs w:val="32"/>
          <w:lang w:val="en-US" w:eastAsia="zh-CN"/>
        </w:rPr>
        <w:t>8</w:t>
      </w:r>
      <w:r>
        <w:rPr>
          <w:rFonts w:hint="eastAsia" w:ascii="仿宋" w:hAnsi="仿宋" w:eastAsia="仿宋"/>
          <w:sz w:val="32"/>
          <w:szCs w:val="32"/>
        </w:rPr>
        <w:t>月</w:t>
      </w:r>
      <w:r>
        <w:rPr>
          <w:rFonts w:hint="eastAsia" w:ascii="仿宋" w:hAnsi="仿宋" w:eastAsia="仿宋"/>
          <w:sz w:val="32"/>
          <w:szCs w:val="32"/>
          <w:lang w:val="en-US" w:eastAsia="zh-CN"/>
        </w:rPr>
        <w:t>5</w:t>
      </w:r>
      <w:r>
        <w:rPr>
          <w:rFonts w:hint="eastAsia" w:ascii="仿宋" w:hAnsi="仿宋" w:eastAsia="仿宋"/>
          <w:sz w:val="32"/>
          <w:szCs w:val="32"/>
        </w:rPr>
        <w:t>日及时在</w:t>
      </w:r>
      <w:r>
        <w:rPr>
          <w:rFonts w:hint="eastAsia" w:ascii="仿宋" w:hAnsi="仿宋" w:eastAsia="仿宋"/>
          <w:sz w:val="32"/>
          <w:szCs w:val="32"/>
          <w:lang w:eastAsia="zh-CN"/>
        </w:rPr>
        <w:t>麒麟区</w:t>
      </w:r>
      <w:r>
        <w:rPr>
          <w:rFonts w:hint="eastAsia" w:ascii="仿宋" w:hAnsi="仿宋" w:eastAsia="仿宋"/>
          <w:sz w:val="32"/>
          <w:szCs w:val="32"/>
        </w:rPr>
        <w:t>人民政府电子政务门户网站上向社会</w:t>
      </w:r>
      <w:r>
        <w:rPr>
          <w:rFonts w:hint="eastAsia" w:ascii="仿宋" w:hAnsi="仿宋" w:eastAsia="仿宋"/>
          <w:sz w:val="32"/>
          <w:szCs w:val="32"/>
          <w:lang w:eastAsia="zh-CN"/>
        </w:rPr>
        <w:t>各界</w:t>
      </w:r>
      <w:r>
        <w:rPr>
          <w:rFonts w:hint="eastAsia" w:ascii="仿宋" w:hAnsi="仿宋" w:eastAsia="仿宋"/>
          <w:sz w:val="32"/>
          <w:szCs w:val="32"/>
        </w:rPr>
        <w:t>公布了2</w:t>
      </w:r>
      <w:r>
        <w:rPr>
          <w:rFonts w:ascii="仿宋" w:hAnsi="仿宋" w:eastAsia="仿宋"/>
          <w:sz w:val="32"/>
          <w:szCs w:val="32"/>
        </w:rPr>
        <w:t>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eastAsia="zh-CN"/>
        </w:rPr>
        <w:t>麒麟区</w:t>
      </w:r>
      <w:r>
        <w:rPr>
          <w:rFonts w:hint="eastAsia" w:ascii="仿宋" w:hAnsi="仿宋" w:eastAsia="仿宋"/>
          <w:sz w:val="32"/>
          <w:szCs w:val="32"/>
        </w:rPr>
        <w:t>政府决算相关表格及资料（公开网址：</w:t>
      </w:r>
      <w:r>
        <w:rPr>
          <w:rFonts w:hint="eastAsia"/>
        </w:rPr>
        <w:fldChar w:fldCharType="begin"/>
      </w:r>
      <w:r>
        <w:rPr>
          <w:rFonts w:hint="eastAsia"/>
        </w:rPr>
        <w:instrText xml:space="preserve"> HYPERLINK "http://www.ql.gov.cn/html/2020/zfyjs_0
811/76500.html" </w:instrText>
      </w:r>
      <w:r>
        <w:rPr>
          <w:rFonts w:hint="eastAsia"/>
        </w:rPr>
        <w:fldChar w:fldCharType="separate"/>
      </w:r>
      <w:r>
        <w:rPr>
          <w:rStyle w:val="5"/>
          <w:rFonts w:hint="eastAsia"/>
        </w:rPr>
        <w:t>http://www.ql.gov.cn/html/2020/zfyjs_0</w:t>
      </w:r>
    </w:p>
    <w:p>
      <w:pPr>
        <w:ind w:firstLine="420" w:firstLineChars="200"/>
        <w:rPr>
          <w:rFonts w:ascii="仿宋" w:hAnsi="仿宋" w:eastAsia="仿宋"/>
          <w:sz w:val="32"/>
          <w:szCs w:val="32"/>
        </w:rPr>
      </w:pPr>
      <w:r>
        <w:rPr>
          <w:rStyle w:val="5"/>
          <w:rFonts w:hint="eastAsia"/>
        </w:rPr>
        <w:t>811/76500.html</w:t>
      </w:r>
      <w:r>
        <w:rPr>
          <w:rFonts w:hint="eastAsia"/>
        </w:rPr>
        <w:fldChar w:fldCharType="end"/>
      </w:r>
      <w:r>
        <w:rPr>
          <w:rFonts w:hint="eastAsia"/>
          <w:lang w:eastAsia="zh-CN"/>
        </w:rPr>
        <w:t>）</w:t>
      </w:r>
      <w:r>
        <w:rPr>
          <w:rFonts w:hint="eastAsia" w:ascii="仿宋" w:hAnsi="仿宋" w:eastAsia="仿宋"/>
          <w:sz w:val="32"/>
          <w:szCs w:val="32"/>
        </w:rPr>
        <w:t>。</w:t>
      </w:r>
    </w:p>
    <w:p>
      <w:pPr>
        <w:ind w:firstLine="640" w:firstLineChars="200"/>
        <w:rPr>
          <w:rFonts w:ascii="楷体" w:hAnsi="楷体" w:eastAsia="楷体"/>
          <w:sz w:val="32"/>
          <w:szCs w:val="32"/>
        </w:rPr>
      </w:pPr>
      <w:r>
        <w:rPr>
          <w:rFonts w:ascii="楷体" w:hAnsi="楷体" w:eastAsia="楷体"/>
          <w:sz w:val="32"/>
          <w:szCs w:val="32"/>
        </w:rPr>
        <w:t>2</w:t>
      </w:r>
      <w:r>
        <w:rPr>
          <w:rFonts w:hint="eastAsia" w:ascii="楷体" w:hAnsi="楷体" w:eastAsia="楷体"/>
          <w:sz w:val="32"/>
          <w:szCs w:val="32"/>
        </w:rPr>
        <w:t>、公开范围、内容</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我</w:t>
      </w:r>
      <w:r>
        <w:rPr>
          <w:rFonts w:hint="eastAsia" w:ascii="仿宋" w:hAnsi="仿宋" w:eastAsia="仿宋"/>
          <w:sz w:val="32"/>
          <w:szCs w:val="32"/>
          <w:lang w:eastAsia="zh-CN"/>
        </w:rPr>
        <w:t>区</w:t>
      </w:r>
      <w:r>
        <w:rPr>
          <w:rFonts w:hint="eastAsia" w:ascii="仿宋" w:hAnsi="仿宋" w:eastAsia="仿宋"/>
          <w:sz w:val="32"/>
          <w:szCs w:val="32"/>
        </w:rPr>
        <w:t>按省市财政统一下发的公开模板及要求公开了政府决算和</w:t>
      </w:r>
      <w:r>
        <w:rPr>
          <w:rFonts w:hint="eastAsia" w:ascii="仿宋" w:hAnsi="仿宋" w:eastAsia="仿宋"/>
          <w:sz w:val="32"/>
          <w:szCs w:val="32"/>
          <w:lang w:eastAsia="zh-CN"/>
        </w:rPr>
        <w:t>全区</w:t>
      </w:r>
      <w:r>
        <w:rPr>
          <w:rFonts w:hint="eastAsia" w:ascii="仿宋" w:hAnsi="仿宋" w:eastAsia="仿宋"/>
          <w:sz w:val="32"/>
          <w:szCs w:val="32"/>
        </w:rPr>
        <w:t>“三公”经费汇总数的相关数据及说明，并且指导各部门公开部门决算，自觉接受人大、审计及公众监督。在政府决算总体情况公开方面，依法及时公开经本级人大及其常委会批准的年度预算、预算调整、预算执行情况、决算的报告、报表及相关说明，实现了政府预决算的全过程公开。我</w:t>
      </w:r>
      <w:r>
        <w:rPr>
          <w:rFonts w:hint="eastAsia" w:ascii="仿宋" w:hAnsi="仿宋" w:eastAsia="仿宋"/>
          <w:sz w:val="32"/>
          <w:szCs w:val="32"/>
          <w:lang w:eastAsia="zh-CN"/>
        </w:rPr>
        <w:t>区</w:t>
      </w:r>
      <w:r>
        <w:rPr>
          <w:rFonts w:hint="eastAsia" w:ascii="仿宋" w:hAnsi="仿宋" w:eastAsia="仿宋"/>
          <w:sz w:val="32"/>
          <w:szCs w:val="32"/>
        </w:rPr>
        <w:t>“四本预算”已全部细化公开到按功能分类的“项”级科目(其中，对一般公共预算中的基本支出，全面细化公开到按经济分类的“款”级科目)，对新《预算法》明确的有关按功能分类和经济分类细化公开政府“四本预算”的目标要求，我</w:t>
      </w:r>
      <w:r>
        <w:rPr>
          <w:rFonts w:hint="eastAsia" w:ascii="仿宋" w:hAnsi="仿宋" w:eastAsia="仿宋"/>
          <w:sz w:val="32"/>
          <w:szCs w:val="32"/>
          <w:lang w:eastAsia="zh-CN"/>
        </w:rPr>
        <w:t>区</w:t>
      </w:r>
      <w:r>
        <w:rPr>
          <w:rFonts w:hint="eastAsia" w:ascii="仿宋" w:hAnsi="仿宋" w:eastAsia="仿宋"/>
          <w:sz w:val="32"/>
          <w:szCs w:val="32"/>
        </w:rPr>
        <w:t>已全部落实到位；在政府债务公开方面，目前，我</w:t>
      </w:r>
      <w:r>
        <w:rPr>
          <w:rFonts w:hint="eastAsia" w:ascii="仿宋" w:hAnsi="仿宋" w:eastAsia="仿宋"/>
          <w:sz w:val="32"/>
          <w:szCs w:val="32"/>
          <w:lang w:eastAsia="zh-CN"/>
        </w:rPr>
        <w:t>区</w:t>
      </w:r>
      <w:r>
        <w:rPr>
          <w:rFonts w:hint="eastAsia" w:ascii="仿宋" w:hAnsi="仿宋" w:eastAsia="仿宋"/>
          <w:sz w:val="32"/>
          <w:szCs w:val="32"/>
        </w:rPr>
        <w:t>已全面公开了经本级人大及其常委会批准的政府债务总体情况（包括政府债务限额、债务余额和债券发行、使用、偿还等情况），并按规定分类细化公开了政府一般债务余额和限额情况、政府专项债务余额和限额情况。</w:t>
      </w:r>
      <w:r>
        <w:rPr>
          <w:rFonts w:hint="eastAsia" w:ascii="仿宋" w:hAnsi="仿宋" w:eastAsia="仿宋"/>
          <w:sz w:val="32"/>
          <w:szCs w:val="32"/>
          <w:lang w:eastAsia="zh-CN"/>
        </w:rPr>
        <w:t>同时对</w:t>
      </w:r>
      <w:r>
        <w:rPr>
          <w:rFonts w:hint="eastAsia" w:ascii="仿宋" w:hAnsi="仿宋" w:eastAsia="仿宋"/>
          <w:sz w:val="32"/>
          <w:szCs w:val="32"/>
          <w:lang w:val="en-US" w:eastAsia="zh-CN"/>
        </w:rPr>
        <w:t>2020年度转移支付情况、预算执行变动情况、重点工作解释及重大政策和重大项目预算绩效执行结果进行说明。</w:t>
      </w:r>
    </w:p>
    <w:p>
      <w:pPr>
        <w:ind w:firstLine="640" w:firstLineChars="200"/>
        <w:rPr>
          <w:rFonts w:ascii="黑体" w:hAnsi="黑体" w:eastAsia="黑体"/>
          <w:sz w:val="32"/>
          <w:szCs w:val="32"/>
        </w:rPr>
      </w:pPr>
      <w:r>
        <w:rPr>
          <w:rFonts w:hint="eastAsia" w:ascii="黑体" w:hAnsi="黑体" w:eastAsia="黑体"/>
          <w:sz w:val="32"/>
          <w:szCs w:val="32"/>
        </w:rPr>
        <w:t>二、今后工作措施</w:t>
      </w:r>
    </w:p>
    <w:p>
      <w:pPr>
        <w:ind w:firstLine="645"/>
        <w:rPr>
          <w:rFonts w:ascii="仿宋" w:hAnsi="仿宋" w:eastAsia="仿宋"/>
          <w:sz w:val="32"/>
          <w:szCs w:val="32"/>
        </w:rPr>
      </w:pPr>
      <w:r>
        <w:rPr>
          <w:rFonts w:hint="eastAsia" w:ascii="仿宋" w:hAnsi="仿宋" w:eastAsia="仿宋"/>
          <w:sz w:val="32"/>
          <w:szCs w:val="32"/>
        </w:rPr>
        <w:t>下一步，</w:t>
      </w:r>
      <w:r>
        <w:rPr>
          <w:rFonts w:hint="eastAsia" w:ascii="仿宋" w:hAnsi="仿宋" w:eastAsia="仿宋"/>
          <w:sz w:val="32"/>
          <w:szCs w:val="32"/>
          <w:lang w:eastAsia="zh-CN"/>
        </w:rPr>
        <w:t>我区</w:t>
      </w:r>
      <w:r>
        <w:rPr>
          <w:rFonts w:hint="eastAsia" w:ascii="仿宋" w:hAnsi="仿宋" w:eastAsia="仿宋"/>
          <w:sz w:val="32"/>
          <w:szCs w:val="32"/>
        </w:rPr>
        <w:t>将根据政府信息公开的要求，</w:t>
      </w:r>
      <w:r>
        <w:rPr>
          <w:rFonts w:hint="eastAsia" w:ascii="仿宋" w:hAnsi="仿宋" w:eastAsia="仿宋"/>
          <w:sz w:val="32"/>
          <w:szCs w:val="32"/>
          <w:lang w:eastAsia="zh-CN"/>
        </w:rPr>
        <w:t>积极</w:t>
      </w:r>
      <w:r>
        <w:rPr>
          <w:rFonts w:hint="eastAsia" w:ascii="仿宋" w:hAnsi="仿宋" w:eastAsia="仿宋"/>
          <w:sz w:val="32"/>
          <w:szCs w:val="32"/>
        </w:rPr>
        <w:t>推进财政政务公开工作，按照</w:t>
      </w:r>
      <w:r>
        <w:rPr>
          <w:rFonts w:hint="eastAsia" w:ascii="仿宋" w:hAnsi="仿宋" w:eastAsia="仿宋"/>
          <w:sz w:val="32"/>
          <w:szCs w:val="32"/>
          <w:lang w:eastAsia="zh-CN"/>
        </w:rPr>
        <w:t>决算公开程序</w:t>
      </w:r>
      <w:r>
        <w:rPr>
          <w:rFonts w:hint="eastAsia" w:ascii="仿宋" w:hAnsi="仿宋" w:eastAsia="仿宋"/>
          <w:sz w:val="32"/>
          <w:szCs w:val="32"/>
        </w:rPr>
        <w:t>，依托云南省财政厅网站统一公开平台和</w:t>
      </w:r>
      <w:r>
        <w:rPr>
          <w:rFonts w:hint="eastAsia" w:ascii="仿宋" w:hAnsi="仿宋" w:eastAsia="仿宋"/>
          <w:sz w:val="32"/>
          <w:szCs w:val="32"/>
          <w:lang w:eastAsia="zh-CN"/>
        </w:rPr>
        <w:t>麒麟区</w:t>
      </w:r>
      <w:r>
        <w:rPr>
          <w:rFonts w:hint="eastAsia" w:ascii="仿宋" w:hAnsi="仿宋" w:eastAsia="仿宋"/>
          <w:sz w:val="32"/>
          <w:szCs w:val="32"/>
        </w:rPr>
        <w:t xml:space="preserve">政府预决算信息公开专栏，通过政府门户网站、报刊、广播、电视等公共媒体政府公告等便于公众获取信息的方式，做到经常性工作长期公开，阶段性工作逐段公开，临时性工作随时公开，涉及群众切身利益的事项及时公开，逐步建立完善的财政预算信息披露制度。并从以下几方面努力，不断推进预预算信息公开工作： </w:t>
      </w:r>
      <w:r>
        <w:rPr>
          <w:rFonts w:ascii="仿宋" w:hAnsi="仿宋" w:eastAsia="仿宋"/>
          <w:sz w:val="32"/>
          <w:szCs w:val="32"/>
        </w:rPr>
        <w:t xml:space="preserve">        </w:t>
      </w:r>
    </w:p>
    <w:p>
      <w:pPr>
        <w:ind w:firstLine="645"/>
        <w:rPr>
          <w:rFonts w:ascii="楷体" w:hAnsi="楷体" w:eastAsia="楷体"/>
          <w:sz w:val="32"/>
          <w:szCs w:val="32"/>
        </w:rPr>
      </w:pPr>
      <w:r>
        <w:rPr>
          <w:rFonts w:hint="eastAsia" w:ascii="楷体" w:hAnsi="楷体" w:eastAsia="楷体"/>
          <w:sz w:val="32"/>
          <w:szCs w:val="32"/>
        </w:rPr>
        <w:t>1、加大公开力度，切实丰富政务信息公开的内容</w:t>
      </w:r>
    </w:p>
    <w:p>
      <w:pPr>
        <w:ind w:firstLine="645"/>
        <w:rPr>
          <w:rFonts w:ascii="仿宋" w:hAnsi="仿宋" w:eastAsia="仿宋"/>
          <w:sz w:val="32"/>
          <w:szCs w:val="32"/>
        </w:rPr>
      </w:pPr>
      <w:r>
        <w:rPr>
          <w:rFonts w:hint="eastAsia" w:ascii="仿宋" w:hAnsi="仿宋" w:eastAsia="仿宋"/>
          <w:sz w:val="32"/>
          <w:szCs w:val="32"/>
        </w:rPr>
        <w:t>按照政府预决算信息公开工作的要求，加强与上级主管部门联系。同时，对</w:t>
      </w:r>
      <w:r>
        <w:rPr>
          <w:rFonts w:hint="eastAsia" w:ascii="仿宋" w:hAnsi="仿宋" w:eastAsia="仿宋"/>
          <w:sz w:val="32"/>
          <w:szCs w:val="32"/>
          <w:lang w:eastAsia="zh-CN"/>
        </w:rPr>
        <w:t>区政府</w:t>
      </w:r>
      <w:r>
        <w:rPr>
          <w:rFonts w:hint="eastAsia" w:ascii="仿宋" w:hAnsi="仿宋" w:eastAsia="仿宋"/>
          <w:sz w:val="32"/>
          <w:szCs w:val="32"/>
        </w:rPr>
        <w:t>及部门的信息，按"以公开为原则，不公开为例外"的要求，除政策、法律明确规定不予公开的信息外，我们将进一步加大政府预决算信息公开力度，丰富公开内容，努力做到政府预决算信息公开的内容不断充实和完善。</w:t>
      </w:r>
    </w:p>
    <w:p>
      <w:pPr>
        <w:ind w:firstLine="645"/>
        <w:rPr>
          <w:rFonts w:ascii="楷体" w:hAnsi="楷体" w:eastAsia="楷体"/>
          <w:sz w:val="32"/>
          <w:szCs w:val="32"/>
        </w:rPr>
      </w:pPr>
      <w:r>
        <w:rPr>
          <w:rFonts w:hint="eastAsia" w:ascii="楷体" w:hAnsi="楷体" w:eastAsia="楷体"/>
          <w:sz w:val="32"/>
          <w:szCs w:val="32"/>
        </w:rPr>
        <w:t>2、加大创新力度，不断拓宽政府信息公开渠道</w:t>
      </w:r>
    </w:p>
    <w:p>
      <w:pPr>
        <w:ind w:firstLine="645"/>
        <w:rPr>
          <w:rFonts w:ascii="仿宋" w:hAnsi="仿宋" w:eastAsia="仿宋"/>
          <w:sz w:val="32"/>
          <w:szCs w:val="32"/>
        </w:rPr>
      </w:pPr>
      <w:r>
        <w:rPr>
          <w:rFonts w:hint="eastAsia" w:ascii="仿宋" w:hAnsi="仿宋" w:eastAsia="仿宋"/>
          <w:sz w:val="32"/>
          <w:szCs w:val="32"/>
        </w:rPr>
        <w:t>努力探索信息公开的新路子，开展多种形式的信息公开方式，畅通公开渠道，方便社会单位及时了解政府信息，有针对性地开展工作，广泛听取群众的意见与建议，把人民群众普遍关心、涉及群众利益的政府预决算信息作为政府预决算信息公开的重点内容予以公开。</w:t>
      </w:r>
    </w:p>
    <w:p>
      <w:pPr>
        <w:ind w:firstLine="645"/>
        <w:rPr>
          <w:rFonts w:ascii="仿宋" w:hAnsi="仿宋" w:eastAsia="仿宋"/>
          <w:sz w:val="32"/>
          <w:szCs w:val="32"/>
        </w:rPr>
      </w:pPr>
    </w:p>
    <w:p>
      <w:pPr>
        <w:ind w:firstLine="645"/>
        <w:rPr>
          <w:rFonts w:ascii="仿宋" w:hAnsi="仿宋" w:eastAsia="仿宋"/>
          <w:sz w:val="32"/>
          <w:szCs w:val="32"/>
        </w:rPr>
      </w:pPr>
    </w:p>
    <w:p>
      <w:pPr>
        <w:ind w:firstLine="645"/>
        <w:rPr>
          <w:rFonts w:ascii="仿宋" w:hAnsi="仿宋" w:eastAsia="仿宋"/>
          <w:sz w:val="32"/>
          <w:szCs w:val="32"/>
        </w:rPr>
      </w:pPr>
    </w:p>
    <w:p>
      <w:pPr>
        <w:ind w:firstLine="640" w:firstLineChars="200"/>
        <w:rPr>
          <w:rFonts w:ascii="仿宋" w:hAnsi="仿宋" w:eastAsia="仿宋"/>
          <w:sz w:val="32"/>
          <w:szCs w:val="32"/>
        </w:rPr>
      </w:pPr>
    </w:p>
    <w:p>
      <w:pPr>
        <w:ind w:firstLine="640" w:firstLineChars="200"/>
        <w:jc w:val="right"/>
        <w:rPr>
          <w:rFonts w:ascii="仿宋" w:hAnsi="仿宋" w:eastAsia="仿宋"/>
          <w:sz w:val="32"/>
          <w:szCs w:val="32"/>
        </w:rPr>
      </w:pPr>
      <w:r>
        <w:rPr>
          <w:rFonts w:hint="eastAsia" w:ascii="仿宋" w:hAnsi="仿宋" w:eastAsia="仿宋"/>
          <w:sz w:val="32"/>
          <w:szCs w:val="32"/>
          <w:lang w:eastAsia="zh-CN"/>
        </w:rPr>
        <w:t>麒麟区</w:t>
      </w:r>
      <w:r>
        <w:rPr>
          <w:rFonts w:hint="eastAsia" w:ascii="仿宋" w:hAnsi="仿宋" w:eastAsia="仿宋"/>
          <w:sz w:val="32"/>
          <w:szCs w:val="32"/>
        </w:rPr>
        <w:t>财政局</w:t>
      </w:r>
    </w:p>
    <w:p>
      <w:pPr>
        <w:ind w:firstLine="640" w:firstLineChars="200"/>
        <w:jc w:val="right"/>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1</w:t>
      </w:r>
      <w:r>
        <w:rPr>
          <w:rFonts w:ascii="仿宋" w:hAnsi="仿宋" w:eastAsia="仿宋"/>
          <w:sz w:val="32"/>
          <w:szCs w:val="32"/>
        </w:rPr>
        <w:t>年</w:t>
      </w:r>
      <w:r>
        <w:rPr>
          <w:rFonts w:hint="eastAsia" w:ascii="仿宋" w:hAnsi="仿宋" w:eastAsia="仿宋"/>
          <w:sz w:val="32"/>
          <w:szCs w:val="32"/>
          <w:lang w:val="en-US" w:eastAsia="zh-CN"/>
        </w:rPr>
        <w:t>8</w:t>
      </w:r>
      <w:r>
        <w:rPr>
          <w:rFonts w:ascii="仿宋" w:hAnsi="仿宋" w:eastAsia="仿宋"/>
          <w:sz w:val="32"/>
          <w:szCs w:val="32"/>
        </w:rPr>
        <w:t>月</w:t>
      </w:r>
      <w:r>
        <w:rPr>
          <w:rFonts w:hint="eastAsia" w:ascii="仿宋" w:hAnsi="仿宋" w:eastAsia="仿宋"/>
          <w:sz w:val="32"/>
          <w:szCs w:val="32"/>
          <w:lang w:val="en-US" w:eastAsia="zh-CN"/>
        </w:rPr>
        <w:t>5</w:t>
      </w:r>
      <w:r>
        <w:rPr>
          <w:rFonts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4A0"/>
    <w:rsid w:val="000E7D1E"/>
    <w:rsid w:val="00102540"/>
    <w:rsid w:val="002134A0"/>
    <w:rsid w:val="00252963"/>
    <w:rsid w:val="002545D4"/>
    <w:rsid w:val="00354CA8"/>
    <w:rsid w:val="004A23CC"/>
    <w:rsid w:val="006332BB"/>
    <w:rsid w:val="0068070E"/>
    <w:rsid w:val="00930468"/>
    <w:rsid w:val="00975C59"/>
    <w:rsid w:val="009B7A03"/>
    <w:rsid w:val="00A442B6"/>
    <w:rsid w:val="00AD2135"/>
    <w:rsid w:val="00BD0E42"/>
    <w:rsid w:val="00BF5572"/>
    <w:rsid w:val="00D7627D"/>
    <w:rsid w:val="00EB2EBF"/>
    <w:rsid w:val="00EB6206"/>
    <w:rsid w:val="00F20338"/>
    <w:rsid w:val="00F22BE0"/>
    <w:rsid w:val="00FA76F8"/>
    <w:rsid w:val="202B29ED"/>
    <w:rsid w:val="373B3EF8"/>
    <w:rsid w:val="3DC13727"/>
    <w:rsid w:val="619D5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character" w:styleId="4">
    <w:name w:val="FollowedHyperlink"/>
    <w:basedOn w:val="3"/>
    <w:semiHidden/>
    <w:unhideWhenUsed/>
    <w:qFormat/>
    <w:uiPriority w:val="99"/>
    <w:rPr>
      <w:color w:val="954F72" w:themeColor="followedHyperlink"/>
      <w:u w:val="single"/>
      <w14:textFill>
        <w14:solidFill>
          <w14:schemeClr w14:val="folHlink"/>
        </w14:solidFill>
      </w14:textFill>
    </w:rPr>
  </w:style>
  <w:style w:type="character" w:styleId="5">
    <w:name w:val="Hyperlink"/>
    <w:basedOn w:val="3"/>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firstLine="420" w:firstLineChars="200"/>
    </w:pPr>
  </w:style>
  <w:style w:type="character" w:customStyle="1" w:styleId="7">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38BDA8-6265-4A38-B273-EB9774209E17}">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225</Words>
  <Characters>1283</Characters>
  <Lines>10</Lines>
  <Paragraphs>3</Paragraphs>
  <TotalTime>156</TotalTime>
  <ScaleCrop>false</ScaleCrop>
  <LinksUpToDate>false</LinksUpToDate>
  <CharactersWithSpaces>1505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2019-10-16T02:30:00Z</dcterms:created>
  <dc:creator>Hexin</dc:creator>
  <cp:lastModifiedBy>QLF</cp:lastModifiedBy>
  <dcterms:modified xsi:type="dcterms:W3CDTF">2021-07-31T03:36:40Z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