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rPr>
          <w:rFonts w:ascii="方正小标宋_GBK" w:hAnsi="宋体" w:eastAsia="方正小标宋_GBK"/>
          <w:bCs/>
          <w:spacing w:val="-36"/>
          <w:w w:val="80"/>
          <w:sz w:val="82"/>
          <w:szCs w:val="72"/>
        </w:rPr>
      </w:pPr>
      <w:r>
        <w:rPr>
          <w:spacing w:val="-36"/>
          <w:szCs w:val="22"/>
        </w:rPr>
        <mc:AlternateContent>
          <mc:Choice Requires="wps">
            <w:drawing>
              <wp:anchor distT="0" distB="0" distL="114300" distR="114300" simplePos="0" relativeHeight="251659264" behindDoc="0" locked="0" layoutInCell="1" allowOverlap="1">
                <wp:simplePos x="0" y="0"/>
                <wp:positionH relativeFrom="column">
                  <wp:posOffset>4457065</wp:posOffset>
                </wp:positionH>
                <wp:positionV relativeFrom="paragraph">
                  <wp:posOffset>259715</wp:posOffset>
                </wp:positionV>
                <wp:extent cx="1371600" cy="9144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1371600" cy="914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84"/>
                                <w:szCs w:val="84"/>
                              </w:rPr>
                            </w:pPr>
                            <w:r>
                              <w:rPr>
                                <w:rFonts w:hint="eastAsia" w:ascii="方正小标宋_GBK" w:eastAsia="方正小标宋_GBK"/>
                                <w:w w:val="90"/>
                                <w:sz w:val="84"/>
                                <w:szCs w:val="84"/>
                              </w:rPr>
                              <w:t>文件</w:t>
                            </w:r>
                            <w:r>
                              <w:rPr>
                                <w:rFonts w:hint="eastAsia"/>
                                <w:sz w:val="84"/>
                                <w:szCs w:val="84"/>
                              </w:rPr>
                              <w:t>财政</w:t>
                            </w:r>
                          </w:p>
                        </w:txbxContent>
                      </wps:txbx>
                      <wps:bodyPr upright="1"/>
                    </wps:wsp>
                  </a:graphicData>
                </a:graphic>
              </wp:anchor>
            </w:drawing>
          </mc:Choice>
          <mc:Fallback>
            <w:pict>
              <v:shape id="文本框 3" o:spid="_x0000_s1026" o:spt="202" type="#_x0000_t202" style="position:absolute;left:0pt;margin-left:350.95pt;margin-top:20.45pt;height:72pt;width:108pt;z-index:251659264;mso-width-relative:page;mso-height-relative:page;" fillcolor="#FFFFFF" filled="t" stroked="t" coordsize="21600,21600" o:gfxdata="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aUDI1wAAAAoBAAAPAAAAAAAAAAEAIAAAACIAAABkcnMv&#10;ZG93bnJldi54bWxQSwECFAAUAAAACACHTuJA6cm/UgQCAAA2BAAADgAAAAAAAAABACAAAAAmAQAA&#10;ZHJzL2Uyb0RvYy54bWxQSwUGAAAAAAYABgBZAQAAnAUAAAAA&#10;">
                <v:fill on="t" focussize="0,0"/>
                <v:stroke color="#FFFFFF" joinstyle="miter"/>
                <v:imagedata o:title=""/>
                <o:lock v:ext="edit" aspectratio="f"/>
                <v:textbox>
                  <w:txbxContent>
                    <w:p>
                      <w:pPr>
                        <w:rPr>
                          <w:sz w:val="84"/>
                          <w:szCs w:val="84"/>
                        </w:rPr>
                      </w:pPr>
                      <w:r>
                        <w:rPr>
                          <w:rFonts w:hint="eastAsia" w:ascii="方正小标宋_GBK" w:eastAsia="方正小标宋_GBK"/>
                          <w:w w:val="90"/>
                          <w:sz w:val="84"/>
                          <w:szCs w:val="84"/>
                        </w:rPr>
                        <w:t>文件</w:t>
                      </w:r>
                      <w:r>
                        <w:rPr>
                          <w:rFonts w:hint="eastAsia"/>
                          <w:sz w:val="84"/>
                          <w:szCs w:val="84"/>
                        </w:rPr>
                        <w:t>财政</w:t>
                      </w:r>
                    </w:p>
                  </w:txbxContent>
                </v:textbox>
              </v:shape>
            </w:pict>
          </mc:Fallback>
        </mc:AlternateContent>
      </w:r>
      <w:r>
        <w:rPr>
          <w:rFonts w:hint="eastAsia" w:ascii="方正小标宋_GBK" w:hAnsi="宋体" w:eastAsia="方正小标宋_GBK"/>
          <w:bCs/>
          <w:spacing w:val="-36"/>
          <w:w w:val="80"/>
          <w:sz w:val="82"/>
          <w:szCs w:val="72"/>
        </w:rPr>
        <w:t>曲靖市麒麟区农业农村局</w:t>
      </w:r>
    </w:p>
    <w:p>
      <w:pPr>
        <w:spacing w:line="1200" w:lineRule="exact"/>
        <w:rPr>
          <w:rFonts w:ascii="方正小标宋_GBK" w:hAnsi="宋体" w:eastAsia="方正小标宋_GBK"/>
          <w:bCs/>
          <w:spacing w:val="40"/>
          <w:w w:val="80"/>
          <w:sz w:val="82"/>
          <w:szCs w:val="72"/>
        </w:rPr>
      </w:pPr>
      <w:r>
        <w:rPr>
          <w:rFonts w:hint="eastAsia" w:ascii="方正小标宋_GBK" w:hAnsi="宋体" w:eastAsia="方正小标宋_GBK"/>
          <w:bCs/>
          <w:spacing w:val="40"/>
          <w:w w:val="80"/>
          <w:sz w:val="82"/>
          <w:szCs w:val="72"/>
        </w:rPr>
        <w:t>曲靖市麒麟区财政局</w:t>
      </w:r>
    </w:p>
    <w:p>
      <w:pPr>
        <w:jc w:val="center"/>
        <w:rPr>
          <w:rFonts w:ascii="仿宋_GB2312"/>
          <w:bCs/>
        </w:rPr>
      </w:pPr>
      <w:r>
        <mc:AlternateContent>
          <mc:Choice Requires="wps">
            <w:drawing>
              <wp:anchor distT="0" distB="0" distL="114300" distR="114300" simplePos="0" relativeHeight="251660288" behindDoc="0" locked="0" layoutInCell="1" allowOverlap="1">
                <wp:simplePos x="0" y="0"/>
                <wp:positionH relativeFrom="column">
                  <wp:posOffset>4933315</wp:posOffset>
                </wp:positionH>
                <wp:positionV relativeFrom="paragraph">
                  <wp:posOffset>142875</wp:posOffset>
                </wp:positionV>
                <wp:extent cx="1257300" cy="1085215"/>
                <wp:effectExtent l="5080" t="4445" r="13970" b="15240"/>
                <wp:wrapNone/>
                <wp:docPr id="2" name="文本框 2"/>
                <wp:cNvGraphicFramePr/>
                <a:graphic xmlns:a="http://schemas.openxmlformats.org/drawingml/2006/main">
                  <a:graphicData uri="http://schemas.microsoft.com/office/word/2010/wordprocessingShape">
                    <wps:wsp>
                      <wps:cNvSpPr txBox="1"/>
                      <wps:spPr>
                        <a:xfrm>
                          <a:off x="0" y="0"/>
                          <a:ext cx="1257300" cy="10852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20" w:lineRule="exact"/>
                              <w:rPr>
                                <w:rFonts w:ascii="方正仿宋_GBK" w:eastAsia="方正仿宋_GBK"/>
                                <w:bCs/>
                                <w:sz w:val="32"/>
                                <w:szCs w:val="32"/>
                              </w:rPr>
                            </w:pPr>
                            <w:r>
                              <w:rPr>
                                <w:rFonts w:hint="eastAsia" w:ascii="方正仿宋_GBK" w:eastAsia="方正仿宋_GBK"/>
                                <w:bCs/>
                                <w:sz w:val="32"/>
                                <w:szCs w:val="32"/>
                              </w:rPr>
                              <w:t>韩光飞</w:t>
                            </w:r>
                          </w:p>
                          <w:p>
                            <w:pPr>
                              <w:rPr>
                                <w:rFonts w:ascii="华文行楷" w:eastAsia="华文行楷"/>
                                <w:bCs/>
                                <w:sz w:val="28"/>
                                <w:szCs w:val="28"/>
                              </w:rPr>
                            </w:pPr>
                            <w:r>
                              <w:rPr>
                                <w:rFonts w:hint="eastAsia" w:ascii="方正仿宋_GBK" w:eastAsia="方正仿宋_GBK"/>
                                <w:bCs/>
                                <w:sz w:val="32"/>
                                <w:szCs w:val="32"/>
                              </w:rPr>
                              <w:t>夏  明</w:t>
                            </w:r>
                          </w:p>
                          <w:p>
                            <w:pPr>
                              <w:spacing w:line="1000" w:lineRule="exact"/>
                              <w:rPr>
                                <w:rFonts w:ascii="华文行楷" w:eastAsia="华文行楷"/>
                                <w:bCs/>
                                <w:sz w:val="28"/>
                                <w:szCs w:val="28"/>
                              </w:rPr>
                            </w:pPr>
                          </w:p>
                          <w:p>
                            <w:pPr>
                              <w:rPr>
                                <w:rFonts w:ascii="华文行楷" w:eastAsia="华文行楷"/>
                                <w:bCs/>
                                <w:sz w:val="28"/>
                                <w:szCs w:val="28"/>
                              </w:rPr>
                            </w:pPr>
                          </w:p>
                          <w:p>
                            <w:pPr>
                              <w:rPr>
                                <w:rFonts w:ascii="华文行楷" w:eastAsia="华文行楷"/>
                                <w:bCs/>
                                <w:sz w:val="28"/>
                                <w:szCs w:val="28"/>
                              </w:rPr>
                            </w:pPr>
                          </w:p>
                          <w:p>
                            <w:pPr>
                              <w:rPr>
                                <w:rFonts w:ascii="华文行楷" w:eastAsia="华文行楷"/>
                                <w:bCs/>
                                <w:sz w:val="28"/>
                                <w:szCs w:val="28"/>
                              </w:rPr>
                            </w:pPr>
                          </w:p>
                          <w:p>
                            <w:pPr>
                              <w:rPr>
                                <w:rFonts w:ascii="华文行楷" w:eastAsia="华文行楷"/>
                                <w:bCs/>
                                <w:sz w:val="28"/>
                                <w:szCs w:val="28"/>
                              </w:rPr>
                            </w:pPr>
                          </w:p>
                        </w:txbxContent>
                      </wps:txbx>
                      <wps:bodyPr upright="1"/>
                    </wps:wsp>
                  </a:graphicData>
                </a:graphic>
              </wp:anchor>
            </w:drawing>
          </mc:Choice>
          <mc:Fallback>
            <w:pict>
              <v:shape id="_x0000_s1026" o:spid="_x0000_s1026" o:spt="202" type="#_x0000_t202" style="position:absolute;left:0pt;margin-left:388.45pt;margin-top:11.25pt;height:85.45pt;width:99pt;z-index:251660288;mso-width-relative:page;mso-height-relative:page;" fillcolor="#FFFFFF" filled="t" stroked="t" coordsize="21600,21600" o:gfxdata="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Nn7C2AAAAAoBAAAPAAAAAAAAAAEAIAAAACIAAABk&#10;cnMvZG93bnJldi54bWxQSwECFAAUAAAACACHTuJAoIg8egYCAAA3BAAADgAAAAAAAAABACAAAAAn&#10;AQAAZHJzL2Uyb0RvYy54bWxQSwUGAAAAAAYABgBZAQAAnwUAAAAA&#10;">
                <v:fill on="t" focussize="0,0"/>
                <v:stroke color="#FFFFFF" joinstyle="miter"/>
                <v:imagedata o:title=""/>
                <o:lock v:ext="edit" aspectratio="f"/>
                <v:textbox>
                  <w:txbxContent>
                    <w:p>
                      <w:pPr>
                        <w:spacing w:line="520" w:lineRule="exact"/>
                        <w:rPr>
                          <w:rFonts w:ascii="方正仿宋_GBK" w:eastAsia="方正仿宋_GBK"/>
                          <w:bCs/>
                          <w:sz w:val="32"/>
                          <w:szCs w:val="32"/>
                        </w:rPr>
                      </w:pPr>
                      <w:r>
                        <w:rPr>
                          <w:rFonts w:hint="eastAsia" w:ascii="方正仿宋_GBK" w:eastAsia="方正仿宋_GBK"/>
                          <w:bCs/>
                          <w:sz w:val="32"/>
                          <w:szCs w:val="32"/>
                        </w:rPr>
                        <w:t>韩光飞</w:t>
                      </w:r>
                    </w:p>
                    <w:p>
                      <w:pPr>
                        <w:rPr>
                          <w:rFonts w:ascii="华文行楷" w:eastAsia="华文行楷"/>
                          <w:bCs/>
                          <w:sz w:val="28"/>
                          <w:szCs w:val="28"/>
                        </w:rPr>
                      </w:pPr>
                      <w:r>
                        <w:rPr>
                          <w:rFonts w:hint="eastAsia" w:ascii="方正仿宋_GBK" w:eastAsia="方正仿宋_GBK"/>
                          <w:bCs/>
                          <w:sz w:val="32"/>
                          <w:szCs w:val="32"/>
                        </w:rPr>
                        <w:t>夏  明</w:t>
                      </w:r>
                    </w:p>
                    <w:p>
                      <w:pPr>
                        <w:spacing w:line="1000" w:lineRule="exact"/>
                        <w:rPr>
                          <w:rFonts w:ascii="华文行楷" w:eastAsia="华文行楷"/>
                          <w:bCs/>
                          <w:sz w:val="28"/>
                          <w:szCs w:val="28"/>
                        </w:rPr>
                      </w:pPr>
                    </w:p>
                    <w:p>
                      <w:pPr>
                        <w:rPr>
                          <w:rFonts w:ascii="华文行楷" w:eastAsia="华文行楷"/>
                          <w:bCs/>
                          <w:sz w:val="28"/>
                          <w:szCs w:val="28"/>
                        </w:rPr>
                      </w:pPr>
                    </w:p>
                    <w:p>
                      <w:pPr>
                        <w:rPr>
                          <w:rFonts w:ascii="华文行楷" w:eastAsia="华文行楷"/>
                          <w:bCs/>
                          <w:sz w:val="28"/>
                          <w:szCs w:val="28"/>
                        </w:rPr>
                      </w:pPr>
                    </w:p>
                    <w:p>
                      <w:pPr>
                        <w:rPr>
                          <w:rFonts w:ascii="华文行楷" w:eastAsia="华文行楷"/>
                          <w:bCs/>
                          <w:sz w:val="28"/>
                          <w:szCs w:val="28"/>
                        </w:rPr>
                      </w:pPr>
                    </w:p>
                    <w:p>
                      <w:pPr>
                        <w:rPr>
                          <w:rFonts w:ascii="华文行楷" w:eastAsia="华文行楷"/>
                          <w:bCs/>
                          <w:sz w:val="28"/>
                          <w:szCs w:val="28"/>
                        </w:rPr>
                      </w:pPr>
                    </w:p>
                  </w:txbxContent>
                </v:textbox>
              </v:shape>
            </w:pict>
          </mc:Fallback>
        </mc:AlternateContent>
      </w:r>
    </w:p>
    <w:p>
      <w:pPr>
        <w:jc w:val="center"/>
        <w:rPr>
          <w:rFonts w:ascii="仿宋_GB2312"/>
          <w:bCs/>
        </w:rPr>
      </w:pPr>
    </w:p>
    <w:p>
      <w:pPr>
        <w:rPr>
          <w:rFonts w:ascii="仿宋_GB2312" w:eastAsia="仿宋_GB2312"/>
          <w:bCs/>
          <w:sz w:val="32"/>
          <w:szCs w:val="32"/>
        </w:rPr>
      </w:pPr>
      <w:r>
        <w:rPr>
          <w:rFonts w:ascii="Times New Roman" w:hAnsi="Times New Roman" w:eastAsia="方正仿宋_GBK"/>
          <w:bCs/>
          <w:sz w:val="32"/>
          <w:szCs w:val="32"/>
        </w:rPr>
        <w:t>麒农</w:t>
      </w:r>
      <w:r>
        <w:rPr>
          <w:rFonts w:hint="eastAsia" w:ascii="Times New Roman" w:hAnsi="Times New Roman" w:eastAsia="方正仿宋_GBK"/>
          <w:bCs/>
          <w:sz w:val="32"/>
          <w:szCs w:val="32"/>
        </w:rPr>
        <w:t>联发</w:t>
      </w:r>
      <w:r>
        <w:rPr>
          <w:rFonts w:ascii="Times New Roman" w:hAnsi="Times New Roman" w:eastAsia="方正仿宋_GBK"/>
          <w:bCs/>
          <w:sz w:val="32"/>
          <w:szCs w:val="32"/>
        </w:rPr>
        <w:t>〔20</w:t>
      </w:r>
      <w:r>
        <w:rPr>
          <w:rFonts w:hint="eastAsia" w:ascii="Times New Roman" w:hAnsi="Times New Roman" w:eastAsia="方正仿宋_GBK"/>
          <w:bCs/>
          <w:sz w:val="32"/>
          <w:szCs w:val="32"/>
        </w:rPr>
        <w:t>21</w:t>
      </w:r>
      <w:r>
        <w:rPr>
          <w:rFonts w:ascii="Times New Roman" w:hAnsi="Times New Roman" w:eastAsia="方正仿宋_GBK"/>
          <w:bCs/>
          <w:sz w:val="32"/>
          <w:szCs w:val="32"/>
        </w:rPr>
        <w:t>〕</w:t>
      </w:r>
      <w:r>
        <w:rPr>
          <w:rFonts w:hint="eastAsia" w:ascii="Times New Roman" w:hAnsi="Times New Roman" w:eastAsia="方正仿宋_GBK"/>
          <w:bCs/>
          <w:sz w:val="32"/>
          <w:szCs w:val="32"/>
        </w:rPr>
        <w:t>19</w:t>
      </w:r>
      <w:r>
        <w:rPr>
          <w:rFonts w:ascii="Times New Roman" w:hAnsi="Times New Roman" w:eastAsia="方正仿宋_GBK"/>
          <w:bCs/>
          <w:sz w:val="32"/>
          <w:szCs w:val="32"/>
        </w:rPr>
        <w:t>号</w:t>
      </w:r>
      <w:r>
        <w:rPr>
          <w:rFonts w:hint="eastAsia" w:ascii="Times New Roman" w:hAnsi="Times New Roman" w:eastAsia="方正仿宋_GBK"/>
          <w:bCs/>
          <w:sz w:val="32"/>
          <w:szCs w:val="32"/>
        </w:rPr>
        <w:t xml:space="preserve">                    </w:t>
      </w:r>
      <w:r>
        <w:rPr>
          <w:rFonts w:hint="eastAsia" w:ascii="方正仿宋_GBK" w:eastAsia="方正仿宋_GBK"/>
          <w:bCs/>
          <w:sz w:val="32"/>
          <w:szCs w:val="32"/>
        </w:rPr>
        <w:t>签发人</w:t>
      </w:r>
      <w:r>
        <w:rPr>
          <w:rFonts w:hint="eastAsia" w:ascii="仿宋_GB2312" w:eastAsia="仿宋_GB2312"/>
          <w:bCs/>
          <w:sz w:val="32"/>
          <w:szCs w:val="32"/>
        </w:rPr>
        <w:t>︰</w:t>
      </w:r>
      <w:r>
        <w:rPr>
          <w:rFonts w:ascii="宋体" w:hAnsi="宋体" w:eastAsia="宋体" w:cs="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539115</wp:posOffset>
                </wp:positionV>
                <wp:extent cx="5715000" cy="0"/>
                <wp:effectExtent l="0" t="0" r="0" b="0"/>
                <wp:wrapNone/>
                <wp:docPr id="3" name="直线 4"/>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6pt;margin-top:42.45pt;height:0pt;width:450pt;z-index:251660288;mso-width-relative:page;mso-height-relative:page;" filled="f" stroked="t" coordsize="21600,21600" o:gfxdata="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oaFK0wAAAAcB&#10;AAAPAAAAAAAAAAEAIAAAACIAAABkcnMvZG93bnJldi54bWxQSwECFAAUAAAACACHTuJAemnl1+cB&#10;AADcAwAADgAAAAAAAAABACAAAAAiAQAAZHJzL2Uyb0RvYy54bWxQSwUGAAAAAAYABgBZAQAAewUA&#10;AAAA&#10;">
                <v:fill on="f" focussize="0,0"/>
                <v:stroke weight="1pt" color="#000000" joinstyle="round"/>
                <v:imagedata o:title=""/>
                <o:lock v:ext="edit" aspectratio="f"/>
              </v:line>
            </w:pict>
          </mc:Fallback>
        </mc:AlternateContent>
      </w: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660" w:lineRule="exact"/>
        <w:jc w:val="center"/>
        <w:rPr>
          <w:rFonts w:ascii="Times New Roman" w:hAnsi="Times New Roman" w:eastAsia="方正小标宋_GBK" w:cs="Times New Roman"/>
          <w:spacing w:val="-16"/>
          <w:sz w:val="44"/>
          <w:szCs w:val="44"/>
        </w:rPr>
      </w:pPr>
      <w:bookmarkStart w:id="0" w:name="_GoBack"/>
      <w:r>
        <w:rPr>
          <w:rFonts w:ascii="Times New Roman" w:hAnsi="Times New Roman" w:eastAsia="方正小标宋_GBK" w:cs="Times New Roman"/>
          <w:spacing w:val="-16"/>
          <w:sz w:val="44"/>
          <w:szCs w:val="44"/>
        </w:rPr>
        <w:t>曲靖市麒麟区农业农村局  曲靖市麒麟区财政局</w:t>
      </w:r>
    </w:p>
    <w:p>
      <w:pPr>
        <w:spacing w:line="660" w:lineRule="exact"/>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关于印发麒麟区</w:t>
      </w:r>
      <w:r>
        <w:rPr>
          <w:rFonts w:hint="eastAsia" w:ascii="方正小标宋_GBK" w:hAnsi="Times New Roman" w:eastAsia="方正小标宋_GBK" w:cs="Times New Roman"/>
          <w:spacing w:val="-16"/>
          <w:sz w:val="44"/>
          <w:szCs w:val="44"/>
        </w:rPr>
        <w:t>2021-2023</w:t>
      </w:r>
      <w:r>
        <w:rPr>
          <w:rFonts w:ascii="Times New Roman" w:hAnsi="Times New Roman" w:eastAsia="方正小标宋_GBK" w:cs="Times New Roman"/>
          <w:spacing w:val="-16"/>
          <w:sz w:val="44"/>
          <w:szCs w:val="44"/>
        </w:rPr>
        <w:t>年农机购置补贴</w:t>
      </w:r>
    </w:p>
    <w:p>
      <w:pPr>
        <w:spacing w:line="660" w:lineRule="exact"/>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实施方案的通知</w:t>
      </w:r>
    </w:p>
    <w:bookmarkEnd w:id="0"/>
    <w:p>
      <w:pPr>
        <w:spacing w:line="580" w:lineRule="exact"/>
        <w:jc w:val="center"/>
        <w:rPr>
          <w:rFonts w:ascii="Times New Roman" w:hAnsi="Times New Roman" w:eastAsia="方正小标宋_GBK" w:cs="Times New Roman"/>
          <w:spacing w:val="-16"/>
          <w:sz w:val="44"/>
          <w:szCs w:val="44"/>
        </w:rPr>
      </w:pPr>
    </w:p>
    <w:p>
      <w:pPr>
        <w:spacing w:line="600" w:lineRule="exact"/>
        <w:rPr>
          <w:rFonts w:ascii="Times New Roman" w:hAnsi="Times New Roman" w:eastAsia="方正楷体_GBK" w:cs="Times New Roman"/>
          <w:sz w:val="32"/>
          <w:szCs w:val="32"/>
        </w:rPr>
      </w:pPr>
      <w:r>
        <w:rPr>
          <w:rFonts w:ascii="Times New Roman" w:hAnsi="Times New Roman" w:eastAsia="方正楷体_GBK" w:cs="Times New Roman"/>
          <w:sz w:val="32"/>
          <w:szCs w:val="32"/>
        </w:rPr>
        <w:t>各镇（街道）农业农村综合（经济管理）服务中心、财政所、局属各站所：</w:t>
      </w:r>
    </w:p>
    <w:p>
      <w:pPr>
        <w:spacing w:line="560" w:lineRule="exact"/>
        <w:ind w:firstLine="641"/>
        <w:rPr>
          <w:rFonts w:ascii="Times New Roman" w:hAnsi="Times New Roman" w:eastAsia="方正仿宋_GBK" w:cs="Times New Roman"/>
          <w:color w:val="333333"/>
          <w:spacing w:val="6"/>
          <w:sz w:val="32"/>
          <w:szCs w:val="32"/>
          <w:shd w:val="clear" w:color="auto" w:fill="FFFFFF"/>
        </w:rPr>
      </w:pPr>
      <w:r>
        <w:rPr>
          <w:rFonts w:ascii="Times New Roman" w:hAnsi="Times New Roman" w:eastAsia="方正仿宋_GBK" w:cs="Times New Roman"/>
          <w:spacing w:val="6"/>
          <w:sz w:val="32"/>
          <w:szCs w:val="32"/>
        </w:rPr>
        <w:t>为廉洁、安全、高效实施好农机购置补贴政策，加快推进麒麟区农业机械化转型升级步伐，</w:t>
      </w:r>
      <w:r>
        <w:rPr>
          <w:rFonts w:ascii="Times New Roman" w:hAnsi="Times New Roman" w:eastAsia="方正仿宋_GBK" w:cs="Times New Roman"/>
          <w:color w:val="333333"/>
          <w:spacing w:val="6"/>
          <w:sz w:val="32"/>
          <w:szCs w:val="32"/>
          <w:shd w:val="clear" w:color="auto" w:fill="FFFFFF"/>
        </w:rPr>
        <w:t>促进农业高质高效发展、粮</w:t>
      </w:r>
      <w:r>
        <w:rPr>
          <w:rFonts w:ascii="Times New Roman" w:hAnsi="Times New Roman" w:eastAsia="方正仿宋_GBK" w:cs="Times New Roman"/>
          <w:spacing w:val="6"/>
          <w:sz w:val="32"/>
          <w:szCs w:val="32"/>
        </w:rPr>
        <w:t>食安全、农民增收，</w:t>
      </w:r>
      <w:r>
        <w:rPr>
          <w:rFonts w:ascii="Times New Roman" w:hAnsi="Times New Roman" w:eastAsia="方正仿宋_GBK" w:cs="Times New Roman"/>
          <w:color w:val="333333"/>
          <w:spacing w:val="6"/>
          <w:sz w:val="32"/>
          <w:szCs w:val="32"/>
          <w:shd w:val="clear" w:color="auto" w:fill="FFFFFF"/>
        </w:rPr>
        <w:t>助力全面推进乡村振兴，现将《曲靖市麒麟区2021—2023年农机购置补贴实施方案》印发给你们，请遵照执行。</w:t>
      </w:r>
    </w:p>
    <w:p>
      <w:pPr>
        <w:spacing w:line="560" w:lineRule="exact"/>
        <w:ind w:firstLine="480" w:firstLineChars="150"/>
        <w:rPr>
          <w:rFonts w:ascii="Times New Roman" w:hAnsi="Times New Roman" w:eastAsia="方正仿宋_GBK" w:cs="Times New Roman"/>
          <w:color w:val="333333"/>
          <w:sz w:val="32"/>
          <w:szCs w:val="32"/>
          <w:shd w:val="clear" w:color="auto" w:fill="FFFFFF"/>
        </w:rPr>
      </w:pPr>
    </w:p>
    <w:p>
      <w:pPr>
        <w:spacing w:line="560" w:lineRule="exact"/>
        <w:ind w:firstLine="480" w:firstLineChars="150"/>
        <w:rPr>
          <w:rFonts w:ascii="Times New Roman" w:hAnsi="Times New Roman" w:eastAsia="方正仿宋_GBK" w:cs="Times New Roman"/>
          <w:color w:val="333333"/>
          <w:sz w:val="32"/>
          <w:szCs w:val="32"/>
          <w:shd w:val="clear" w:color="auto" w:fill="FFFFFF"/>
        </w:rPr>
      </w:pPr>
    </w:p>
    <w:p>
      <w:pPr>
        <w:spacing w:line="560" w:lineRule="exact"/>
        <w:ind w:firstLine="480" w:firstLineChars="15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 xml:space="preserve">曲靖市麒麟区农业农村局   </w:t>
      </w:r>
      <w:r>
        <w:rPr>
          <w:rFonts w:hint="eastAsia" w:ascii="Times New Roman" w:hAnsi="Times New Roman" w:eastAsia="方正仿宋_GBK" w:cs="Times New Roman"/>
          <w:color w:val="333333"/>
          <w:sz w:val="32"/>
          <w:szCs w:val="32"/>
          <w:shd w:val="clear" w:color="auto" w:fill="FFFFFF"/>
        </w:rPr>
        <w:t xml:space="preserve">     </w:t>
      </w:r>
      <w:r>
        <w:rPr>
          <w:rFonts w:ascii="Times New Roman" w:hAnsi="Times New Roman" w:eastAsia="方正仿宋_GBK" w:cs="Times New Roman"/>
          <w:color w:val="333333"/>
          <w:sz w:val="32"/>
          <w:szCs w:val="32"/>
          <w:shd w:val="clear" w:color="auto" w:fill="FFFFFF"/>
        </w:rPr>
        <w:t>曲靖市麒麟区财政局</w:t>
      </w:r>
    </w:p>
    <w:p>
      <w:pPr>
        <w:spacing w:line="560" w:lineRule="exact"/>
        <w:ind w:firstLine="2249" w:firstLineChars="703"/>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 xml:space="preserve">       </w:t>
      </w:r>
      <w:r>
        <w:rPr>
          <w:rFonts w:ascii="Times New Roman" w:hAnsi="Times New Roman" w:eastAsia="方正仿宋_GBK" w:cs="Times New Roman"/>
          <w:color w:val="333333"/>
          <w:sz w:val="32"/>
          <w:szCs w:val="32"/>
          <w:shd w:val="clear" w:color="auto" w:fill="FFFFFF"/>
        </w:rPr>
        <w:t>2021年7月28日</w:t>
      </w:r>
    </w:p>
    <w:p>
      <w:pPr>
        <w:spacing w:line="600" w:lineRule="exact"/>
        <w:ind w:firstLine="1100" w:firstLineChars="250"/>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曲靖市麒麟区</w:t>
      </w:r>
      <w:r>
        <w:rPr>
          <w:rFonts w:hint="eastAsia" w:ascii="方正小标宋_GBK" w:hAnsi="Times New Roman" w:eastAsia="方正小标宋_GBK" w:cs="Times New Roman"/>
          <w:bCs/>
          <w:sz w:val="44"/>
          <w:szCs w:val="44"/>
        </w:rPr>
        <w:t>2021-2023</w:t>
      </w:r>
      <w:r>
        <w:rPr>
          <w:rFonts w:ascii="Times New Roman" w:hAnsi="Times New Roman" w:eastAsia="方正小标宋_GBK" w:cs="Times New Roman"/>
          <w:bCs/>
          <w:sz w:val="44"/>
          <w:szCs w:val="44"/>
        </w:rPr>
        <w:t>年农机购置</w:t>
      </w:r>
    </w:p>
    <w:p>
      <w:pPr>
        <w:spacing w:line="6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补贴实施方案</w:t>
      </w:r>
    </w:p>
    <w:p>
      <w:pPr>
        <w:spacing w:line="400" w:lineRule="exact"/>
        <w:ind w:firstLine="640" w:firstLineChars="200"/>
        <w:rPr>
          <w:rFonts w:ascii="Times New Roman" w:hAnsi="Times New Roman" w:eastAsia="方正仿宋_GBK" w:cs="Times New Roman"/>
          <w:color w:val="333333"/>
          <w:sz w:val="32"/>
          <w:szCs w:val="32"/>
          <w:shd w:val="clear" w:color="auto" w:fill="FFFFFF"/>
        </w:rPr>
      </w:pPr>
    </w:p>
    <w:p>
      <w:pPr>
        <w:spacing w:line="600"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为规范做好麒麟区2021-2023年农机购置补贴政策实施工作，充分发挥政策效益，推动农业机械化转型升级步伐，有效支撑粮食安全、重要农产品有效供给和农民增收，促进农业高质高效发展，助力全面推进乡村振兴、加快农业农村现代化建设，根据《云南省农业农村厅 云南省财政厅关于印发云南省2021—2023年农机购置补贴实施方案的通知》（云农机〔2021〕7号）、《曲靖市农业农村局 曲靖市财政局转发云南省农业农村厅 云南省财政厅关于印发云南省2021-2023年农机购置补贴实施方案的通知》（曲农〔2021〕77号）文件要求，结合我区实际，制定本实施方案。</w:t>
      </w:r>
    </w:p>
    <w:p>
      <w:pPr>
        <w:spacing w:line="60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一、实施原则</w:t>
      </w:r>
    </w:p>
    <w:p>
      <w:pPr>
        <w:spacing w:line="600" w:lineRule="exact"/>
        <w:ind w:firstLine="648" w:firstLineChars="200"/>
        <w:rPr>
          <w:rFonts w:ascii="Times New Roman" w:hAnsi="Times New Roman" w:eastAsia="方正仿宋_GBK" w:cs="Times New Roman"/>
          <w:spacing w:val="2"/>
          <w:sz w:val="32"/>
          <w:szCs w:val="32"/>
        </w:rPr>
      </w:pPr>
      <w:r>
        <w:rPr>
          <w:rFonts w:ascii="Times New Roman" w:hAnsi="Times New Roman" w:eastAsia="方正仿宋_GBK" w:cs="Times New Roman"/>
          <w:spacing w:val="2"/>
          <w:sz w:val="32"/>
          <w:szCs w:val="32"/>
        </w:rPr>
        <w:t>坚持以习近平新时代中国特色社会主义思想为指导，全面贯彻党的十九大和十九届二中、三中、四中、五中全会精神，落实党中央、省</w:t>
      </w:r>
      <w:r>
        <w:rPr>
          <w:rFonts w:hint="eastAsia" w:ascii="方正仿宋_GBK" w:hAnsi="Times New Roman" w:eastAsia="方正仿宋_GBK" w:cs="Times New Roman"/>
          <w:spacing w:val="2"/>
          <w:sz w:val="32"/>
          <w:szCs w:val="32"/>
        </w:rPr>
        <w:t>委“三农”工作决</w:t>
      </w:r>
      <w:r>
        <w:rPr>
          <w:rFonts w:ascii="Times New Roman" w:hAnsi="Times New Roman" w:eastAsia="方正仿宋_GBK" w:cs="Times New Roman"/>
          <w:spacing w:val="2"/>
          <w:sz w:val="32"/>
          <w:szCs w:val="32"/>
        </w:rPr>
        <w:t>策部署和《国务院关于加快推进农业机械化和农机装备产业转型升级的指导意见》（国发〔2018〕42号）、《云南省人民政府关于加快推进农业机械化和农机装备产业转型升级的实施意见》（云政发〔2019〕18号）等文件要求，以满足广大农民对机械化生产的需要为目标，以政策稳定实施、最大限度发挥政策效益为主线，稳重点、扩范围、优服务、强监管、提效能，落实构建新发展格局要求，破除制约要素合理流动的堵点，进一步畅通农业机械化发展各个环节，持续提升政策实施的精准化、规范化、便利化水平，支持引导农民购置使用先进适用的农业机械，推动农业机械化向全程全面高质高效转型升级，加快提升农业机械化产业链现代化水平，为实施乡村振兴战略、助力高原特色农业发展、推进农业农村现代化提供坚实支撑。</w:t>
      </w:r>
    </w:p>
    <w:p>
      <w:pPr>
        <w:spacing w:line="600" w:lineRule="exact"/>
        <w:ind w:firstLine="648" w:firstLineChars="200"/>
        <w:rPr>
          <w:rFonts w:ascii="Times New Roman" w:hAnsi="Times New Roman" w:eastAsia="方正黑体_GBK" w:cs="Times New Roman"/>
          <w:bCs/>
          <w:spacing w:val="2"/>
          <w:sz w:val="32"/>
          <w:szCs w:val="32"/>
        </w:rPr>
      </w:pPr>
      <w:r>
        <w:rPr>
          <w:rFonts w:ascii="Times New Roman" w:hAnsi="Times New Roman" w:eastAsia="方正黑体_GBK" w:cs="Times New Roman"/>
          <w:bCs/>
          <w:spacing w:val="2"/>
          <w:sz w:val="32"/>
          <w:szCs w:val="32"/>
        </w:rPr>
        <w:t>二、实施范围</w:t>
      </w:r>
    </w:p>
    <w:p>
      <w:pPr>
        <w:spacing w:line="600" w:lineRule="exact"/>
        <w:ind w:firstLine="640"/>
        <w:rPr>
          <w:rFonts w:ascii="Times New Roman" w:hAnsi="Times New Roman" w:eastAsia="方正仿宋_GBK" w:cs="Times New Roman"/>
          <w:spacing w:val="2"/>
          <w:sz w:val="32"/>
          <w:szCs w:val="32"/>
        </w:rPr>
      </w:pPr>
      <w:r>
        <w:rPr>
          <w:rFonts w:ascii="Times New Roman" w:hAnsi="Times New Roman" w:eastAsia="方正仿宋_GBK" w:cs="Times New Roman"/>
          <w:spacing w:val="2"/>
          <w:sz w:val="32"/>
          <w:szCs w:val="32"/>
        </w:rPr>
        <w:t>农机购置补贴政策在麒麟区辖区内的</w:t>
      </w:r>
      <w:r>
        <w:rPr>
          <w:rFonts w:ascii="Times New Roman" w:hAnsi="Times New Roman" w:eastAsia="方正仿宋_GBK" w:cs="Times New Roman"/>
          <w:color w:val="333333"/>
          <w:spacing w:val="2"/>
          <w:sz w:val="32"/>
          <w:szCs w:val="32"/>
          <w:shd w:val="clear" w:color="auto" w:fill="FFFFFF"/>
        </w:rPr>
        <w:t>16个镇街道（包括曲靖经济开发区翠峰和西城街道）范围内实施。补贴资金规模</w:t>
      </w:r>
      <w:r>
        <w:rPr>
          <w:rFonts w:ascii="Times New Roman" w:hAnsi="Times New Roman" w:eastAsia="方正仿宋_GBK" w:cs="Times New Roman"/>
          <w:spacing w:val="2"/>
          <w:sz w:val="32"/>
          <w:szCs w:val="32"/>
        </w:rPr>
        <w:t>为当年中央财政下达资金和上年度结转资金。上年结转资金可继续在本年度使用，连续两年未使用的结转资金，按有关规定处理。麒麟区财政</w:t>
      </w:r>
      <w:r>
        <w:rPr>
          <w:rFonts w:ascii="Times New Roman" w:hAnsi="Times New Roman" w:eastAsia="方正仿宋_GBK" w:cs="Times New Roman"/>
          <w:color w:val="333333"/>
          <w:spacing w:val="2"/>
          <w:sz w:val="32"/>
          <w:szCs w:val="32"/>
          <w:shd w:val="clear" w:color="auto" w:fill="FFFFFF"/>
        </w:rPr>
        <w:t>局会</w:t>
      </w:r>
      <w:r>
        <w:rPr>
          <w:rFonts w:ascii="Times New Roman" w:hAnsi="Times New Roman" w:eastAsia="方正仿宋_GBK" w:cs="Times New Roman"/>
          <w:spacing w:val="2"/>
          <w:sz w:val="32"/>
          <w:szCs w:val="32"/>
        </w:rPr>
        <w:t>同麒麟区农业农村局加强资金监管，强化区域内资金余缺动态调剂，确保资金安全，提高资金使用效率。麒麟区财政局按照同级保障的原则，根据本辖区农机购置补贴工作任务，安排必要的组织管理经费，切实把农机购置补贴惠农政策落到实处。</w:t>
      </w:r>
    </w:p>
    <w:p>
      <w:pPr>
        <w:spacing w:line="600" w:lineRule="exact"/>
        <w:ind w:firstLine="640" w:firstLineChars="200"/>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三、实施重点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云南省在支持重点方面着力稳产保供要求，将粮食、生猪等重要农畜产品生产所需机具全部列入补贴范围，应补尽补。探索开展建设标准成熟的烘干机配套设施、水稻育秧成套设施装备、温室大棚骨架和标准化猪舍钢结构、智能养殖（含渔业）设备、糖果菜茶胶初加工成套设备、蜜蜂养殖及蜂产品初加工成套设施装备及高端智能自主创新农机新产品补贴试点工作。推广使用具有自主知识产权的智能终端设备，确保农业生产数据安全。严格落实省厅开展农机专项鉴定，支持农机创新产品取得补贴资质，尽快列入补贴范围，提高水稻、玉米、马铃薯、甘蔗等农作物种收环节所需机具和高原特色农业生产急需高端、复式、智能农机具的补贴额度，逐年降低区域内保有量明显过多、技术相对落后的机具品目的补贴额度，并将部分低价值的机具退出补贴范围。进一步优化办理流程，缩短机具核验办理时限，加快补贴资金兑付，提升政策实施水平，保障农民和企业合法权益。提升信息化水平，推广应用手机App、人脸识别、补贴机具二维码管理和物联网监控等技术，加快推进补贴全流程线上办理。进一步加强大数据信息梳理分析，提升违规行为排查和监控能力，从严整治产销企业套取、骗取补贴资金的违规行为。</w:t>
      </w:r>
    </w:p>
    <w:p>
      <w:pPr>
        <w:spacing w:line="60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四、补贴范围和补贴机具</w:t>
      </w:r>
    </w:p>
    <w:p>
      <w:pPr>
        <w:spacing w:line="600" w:lineRule="exact"/>
        <w:ind w:firstLine="640" w:firstLineChars="200"/>
        <w:rPr>
          <w:rFonts w:ascii="Times New Roman" w:hAnsi="Times New Roman" w:eastAsia="方正仿宋_GBK" w:cs="Times New Roman"/>
          <w:color w:val="FF0000"/>
          <w:sz w:val="32"/>
          <w:szCs w:val="32"/>
        </w:rPr>
      </w:pPr>
      <w:r>
        <w:rPr>
          <w:rFonts w:hint="eastAsia" w:ascii="方正楷体_GBK" w:hAnsi="Times New Roman" w:eastAsia="方正楷体_GBK" w:cs="Times New Roman"/>
          <w:sz w:val="32"/>
          <w:szCs w:val="32"/>
        </w:rPr>
        <w:t>（一）补贴范围</w:t>
      </w:r>
      <w:r>
        <w:rPr>
          <w:rFonts w:hint="eastAsia" w:ascii="方正楷体_GBK" w:hAnsi="宋体" w:eastAsia="方正楷体_GBK" w:cs="Times New Roman"/>
          <w:sz w:val="32"/>
          <w:szCs w:val="32"/>
        </w:rPr>
        <w:t>。</w:t>
      </w:r>
      <w:r>
        <w:rPr>
          <w:rFonts w:ascii="Times New Roman" w:hAnsi="Times New Roman" w:eastAsia="方正仿宋_GBK" w:cs="Times New Roman"/>
          <w:color w:val="333333"/>
          <w:sz w:val="32"/>
          <w:szCs w:val="32"/>
          <w:shd w:val="clear" w:color="auto" w:fill="FFFFFF"/>
        </w:rPr>
        <w:t>根据麒麟区农业</w:t>
      </w:r>
      <w:r>
        <w:rPr>
          <w:rFonts w:ascii="Times New Roman" w:hAnsi="Times New Roman" w:eastAsia="方正仿宋_GBK" w:cs="Times New Roman"/>
          <w:bCs/>
          <w:sz w:val="32"/>
          <w:szCs w:val="32"/>
        </w:rPr>
        <w:t>生产需要，在中央财政资金补贴机具种类范围</w:t>
      </w:r>
      <w:r>
        <w:rPr>
          <w:rFonts w:ascii="Times New Roman" w:hAnsi="Times New Roman" w:eastAsia="方正仿宋_GBK" w:cs="Times New Roman"/>
          <w:color w:val="333333"/>
          <w:sz w:val="32"/>
          <w:szCs w:val="32"/>
          <w:shd w:val="clear" w:color="auto" w:fill="FFFFFF"/>
        </w:rPr>
        <w:t>15大类44个小类172个品目范围内，将云南</w:t>
      </w:r>
      <w:r>
        <w:rPr>
          <w:rFonts w:ascii="Times New Roman" w:hAnsi="Times New Roman" w:eastAsia="方正仿宋_GBK" w:cs="Times New Roman"/>
          <w:sz w:val="32"/>
          <w:szCs w:val="32"/>
        </w:rPr>
        <w:t>省农业农村厅、云南省财政厅选定的15大类41个小类138个品目（详见附件1）确定为我区农机购置补贴机具种类范围，所有品目在全区范围内实行敞开补贴。补贴范围根据农业生产需要实际和农机购置补贴实施情况按年度进行调整，区农机管理部门需按年度上报补贴范围调整和农机新产品补贴试点建议，梳理区域内保有量明显过多、技术相对落后的机具品目或档次，汇同年度工作总结一并上报市农业农村局。</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支持农机创新产品列入补贴范围。继续按《云南省农业农村厅 云南省财政厅关于印发云南省农机新产品购置补贴试点实施方案的通知》（云农机〔2021〕2号）要求开展温室大棚、耕整打塘机、辣椒除柄机等农机新产品补贴试点工作，加快推广应用步伐。继续按《云南省农业农村厅云南省财政厅关于印发云南省植保无人飞机购置补贴试点方案的通知》（云农机〔2019〕8号）要求开展植保无人飞机购置补贴工作，试点产品需符合《云南省2021-2023年农机购置补贴机具补贴额一览表》（以下简</w:t>
      </w:r>
      <w:r>
        <w:rPr>
          <w:rFonts w:hint="eastAsia" w:ascii="方正仿宋_GBK" w:hAnsi="Times New Roman" w:eastAsia="方正仿宋_GBK" w:cs="Times New Roman"/>
          <w:sz w:val="32"/>
          <w:szCs w:val="32"/>
        </w:rPr>
        <w:t>称“补贴额一览表”</w:t>
      </w:r>
      <w:r>
        <w:rPr>
          <w:rFonts w:ascii="Times New Roman" w:hAnsi="Times New Roman" w:eastAsia="方正仿宋_GBK" w:cs="Times New Roman"/>
          <w:sz w:val="32"/>
          <w:szCs w:val="32"/>
        </w:rPr>
        <w:t>）要求；农业农村部和财政部发布植保无人驾驶航空器购置补贴具体操作办法后，按新的要求执行。</w:t>
      </w:r>
    </w:p>
    <w:p>
      <w:pPr>
        <w:numPr>
          <w:ilvl w:val="0"/>
          <w:numId w:val="1"/>
        </w:num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补贴机具</w:t>
      </w:r>
      <w:r>
        <w:rPr>
          <w:rFonts w:ascii="Times New Roman" w:hAnsi="Times New Roman" w:eastAsia="方正仿宋_GBK" w:cs="Times New Roman"/>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spacing w:line="600" w:lineRule="exact"/>
        <w:rPr>
          <w:rFonts w:ascii="Times New Roman" w:hAnsi="Times New Roman" w:eastAsia="方正黑体_GBK" w:cs="Times New Roman"/>
          <w:bCs/>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 xml:space="preserve">    </w:t>
      </w:r>
      <w:r>
        <w:rPr>
          <w:rFonts w:ascii="Times New Roman" w:hAnsi="Times New Roman" w:eastAsia="方正黑体_GBK" w:cs="Times New Roman"/>
          <w:bCs/>
          <w:sz w:val="32"/>
          <w:szCs w:val="32"/>
        </w:rPr>
        <w:t>五、补贴对象和补贴标准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（一）补贴对象</w:t>
      </w:r>
      <w:r>
        <w:rPr>
          <w:rFonts w:ascii="Times New Roman" w:hAnsi="Times New Roman" w:eastAsia="方正仿宋_GBK" w:cs="Times New Roman"/>
          <w:sz w:val="32"/>
          <w:szCs w:val="32"/>
        </w:rPr>
        <w:t>。补贴对象为麒麟区辖区内从事农业生产的个人和农业生产经营组织（以</w:t>
      </w:r>
      <w:r>
        <w:rPr>
          <w:rFonts w:hint="eastAsia" w:ascii="方正仿宋_GBK" w:hAnsi="Times New Roman" w:eastAsia="方正仿宋_GBK" w:cs="Times New Roman"/>
          <w:sz w:val="32"/>
          <w:szCs w:val="32"/>
        </w:rPr>
        <w:t>下简称“购机者”</w:t>
      </w:r>
      <w:r>
        <w:rPr>
          <w:rFonts w:ascii="Times New Roman" w:hAnsi="Times New Roman" w:eastAsia="方正仿宋_GBK" w:cs="Times New Roman"/>
          <w:sz w:val="32"/>
          <w:szCs w:val="32"/>
        </w:rPr>
        <w:t>），其中农业生产经营组织包括农村集体经济组织、农民专业合作经济组织、农业企业和其他从事农业生产经营的组织。</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（二）补贴标准。</w:t>
      </w:r>
      <w:r>
        <w:rPr>
          <w:rFonts w:ascii="Times New Roman" w:hAnsi="Times New Roman" w:eastAsia="方正仿宋_GBK" w:cs="Times New Roman"/>
          <w:sz w:val="32"/>
          <w:szCs w:val="32"/>
        </w:rPr>
        <w:t>中央财政农机购置补贴在全区范围内实行定额补贴，具体补贴额度详见补贴额一览表。省农业农村厅、财政厅根据农业农村部和财政部相关要求，结合地方农业生产实际和上一年补贴政策实施情况，优化确定分档参数及增加分档，依据同档产品上年市场销售均价测算确定各档次的补贴额，测算比例不超过30%，且通用类机具补贴额不超过农业农村部、财政部发布的最高补贴额。</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对区域内保有量明显过多、技术相对落后的轮式拖拉机等机具品目按照上级规定降低补贴标准，到2023年将其补贴机具补贴额测算比例降低至15%及以下。</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除上述提高补贴额测算比例的补贴机具和玉米去雄机以外，一般补贴机具单机补贴限额原则上不超过5万元；挤奶机械、烘干机单机补贴限额不超过12万元；100马力以上拖拉机</w:t>
      </w:r>
      <w:r>
        <w:rPr>
          <w:rFonts w:ascii="Times New Roman" w:hAnsi="Times New Roman" w:eastAsia="方正仿宋_GBK" w:cs="Times New Roman"/>
          <w:b/>
          <w:bCs/>
          <w:sz w:val="32"/>
          <w:szCs w:val="32"/>
        </w:rPr>
        <w:t>、</w:t>
      </w:r>
      <w:r>
        <w:rPr>
          <w:rFonts w:ascii="Times New Roman" w:hAnsi="Times New Roman" w:eastAsia="方正仿宋_GBK" w:cs="Times New Roman"/>
          <w:bCs/>
          <w:sz w:val="32"/>
          <w:szCs w:val="32"/>
        </w:rPr>
        <w:t>高性能青饲料收获机、</w:t>
      </w:r>
      <w:r>
        <w:rPr>
          <w:rFonts w:ascii="Times New Roman" w:hAnsi="Times New Roman" w:eastAsia="方正仿宋_GBK" w:cs="Times New Roman"/>
          <w:sz w:val="32"/>
          <w:szCs w:val="32"/>
        </w:rPr>
        <w:t>大型免耕播种机、大型联合收割机、水稻大型浸种催芽程控设备、畜禽粪污资源化利用机具单机补贴限额不超过15万元；200马力以上拖拉机单机补贴限额不超过25万元；大型甘蔗收获机单机补贴限额不超过40万元；成套设施装备单套补贴限额不超过60万元。</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购机办、各镇街道农机部门要加强宣传，全面公开农机购置补贴机具补贴额一览表，不再对外公布具体产品的补贴额，引导购机者自主议价。在政策实施过程中发现具体产品或档次的中央财政资金实际补贴比例超过50%的，及时组织调查，对有违规情节的，按相关规定处理；对无违规情节的补贴申请，可按原规定兑付补贴资金，并组织对相关产品及其所属档次补贴额进行评估，视情况及时调整。</w:t>
      </w:r>
    </w:p>
    <w:p>
      <w:pPr>
        <w:spacing w:line="60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六、资金分配与使用</w:t>
      </w:r>
    </w:p>
    <w:p>
      <w:pPr>
        <w:spacing w:line="6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农机购置补贴支出主要用于支持购置先进适用农业机械，以及开展有关试点和农机报废更新等方面。农机报废更新补贴按《农业农村部办公厅 财政部办公厅 商务部办公厅关于印发〈农业机械报废更新补贴实施指导意见〉的通知》（农办机〔2020〕2号）、《云南省农业农村厅 云南省财政厅 云南省工业和信息化厅关于印发〈云南省农业机械报废更新补贴实施意见〉的通知》（云农机〔2020〕3号）和《曲靖市麒麟区农业农村局  曲靖市麒麟区财政局  曲靖市麒麟区工业和信息化局〈关于印发曲靖市麒麟区农业机械报废更新补贴实施方案〉的通知》麒农联发〔2020〕5 号执行。农机购置补贴属约束性任务，资金必须足额保障，不得用于其他任务支出。</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bCs/>
          <w:sz w:val="32"/>
          <w:szCs w:val="32"/>
        </w:rPr>
        <w:t>七、操作流程</w:t>
      </w:r>
    </w:p>
    <w:p>
      <w:pPr>
        <w:spacing w:line="60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农机购置补贴政策按</w:t>
      </w:r>
      <w:r>
        <w:rPr>
          <w:rFonts w:hint="eastAsia" w:ascii="方正仿宋_GBK" w:hAnsi="Times New Roman" w:eastAsia="方正仿宋_GBK" w:cs="Times New Roman"/>
          <w:sz w:val="32"/>
          <w:szCs w:val="32"/>
        </w:rPr>
        <w:t>照“自主购机、定额补贴、先购后补、县级结算、直补到卡（户）”方式实</w:t>
      </w:r>
      <w:r>
        <w:rPr>
          <w:rFonts w:ascii="Times New Roman" w:hAnsi="Times New Roman" w:eastAsia="方正仿宋_GBK" w:cs="Times New Roman"/>
          <w:sz w:val="32"/>
          <w:szCs w:val="32"/>
        </w:rPr>
        <w:t>施。购机者自主选择购买机具，按市场化原则自行与农机产销企业协商确定购机价格与支付方式，并对交易行为真实性、有效性和可能发生的纠纷承担法律责任。购机者购买机具时，销售企业需向购机者出具购机发票、产品质量合格证书和售后服务凭证等资料。发票上需注明购机者姓名（或企业、合作社等名称）、所购机具名称、型号、数量、销售价格、出厂编号、发动机编号和生产企业名称等信息。自主购机行为完成后，购机者自主向镇（街道）农机管理部门提出补贴资金申领事项，签署告知承诺书，承诺购买行为、发票购机价格等信息真实有效，按相关规定申办补贴。补贴申领原则上当年有效，因当年财政补贴资金规模不够，办理手续时间紧张等无法享受补贴的，可按下一个年度政策优先办理补贴。</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麒麟区实施农机购置补贴政策按以下流程操作。</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（一）发布实施规定</w:t>
      </w:r>
      <w:r>
        <w:rPr>
          <w:rFonts w:ascii="Times New Roman" w:hAnsi="宋体" w:eastAsia="宋体" w:cs="Times New Roman"/>
          <w:sz w:val="32"/>
          <w:szCs w:val="32"/>
        </w:rPr>
        <w:t>。</w:t>
      </w:r>
      <w:r>
        <w:rPr>
          <w:rFonts w:ascii="Times New Roman" w:hAnsi="Times New Roman" w:eastAsia="方正仿宋_GBK" w:cs="Times New Roman"/>
          <w:sz w:val="32"/>
          <w:szCs w:val="32"/>
        </w:rPr>
        <w:t>麒麟区农业农村局和财政局按职责分工制定区级农机购置补贴实施方案、制定区级核验流程、公示补贴额一览表、补贴机具信息表，全面公开区级咨询投诉举报电话等信息。</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（二）组织机具投档。</w:t>
      </w:r>
      <w:r>
        <w:rPr>
          <w:rFonts w:ascii="Times New Roman" w:hAnsi="Times New Roman" w:eastAsia="方正仿宋_GBK" w:cs="Times New Roman"/>
          <w:sz w:val="32"/>
          <w:szCs w:val="32"/>
        </w:rPr>
        <w:t>由省农业农村厅按照《云南省农机购置补贴机具投档工作方案》等要求，全面运用农机购置补贴机具自主投档平台，常年受理自愿参与农机购置补贴的企业投档，组织开展形式审核，公示公布投档结果，并导入办理服务系统。</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（三）受理补贴申请。</w:t>
      </w:r>
      <w:r>
        <w:rPr>
          <w:rFonts w:ascii="Times New Roman" w:hAnsi="Times New Roman" w:eastAsia="方正仿宋_GBK" w:cs="Times New Roman"/>
          <w:bCs/>
          <w:sz w:val="32"/>
          <w:szCs w:val="32"/>
        </w:rPr>
        <w:t>麒麟区</w:t>
      </w:r>
      <w:r>
        <w:rPr>
          <w:rFonts w:ascii="Times New Roman" w:hAnsi="Times New Roman" w:eastAsia="方正仿宋_GBK" w:cs="Times New Roman"/>
          <w:sz w:val="32"/>
          <w:szCs w:val="32"/>
        </w:rPr>
        <w:t>农业农村局全面实行办理服务系统常年连续开放，推广使用带有人脸识别功能的手机App等信息化技术，方便购机者随时在线提交补贴申请、应录尽录，加快实现购机者线下申领</w:t>
      </w:r>
      <w:r>
        <w:rPr>
          <w:rFonts w:hint="eastAsia" w:ascii="方正仿宋_GBK" w:hAnsi="Times New Roman" w:eastAsia="方正仿宋_GBK" w:cs="Times New Roman"/>
          <w:sz w:val="32"/>
          <w:szCs w:val="32"/>
        </w:rPr>
        <w:t>补贴“最多跑一次”“最多跑一地”</w:t>
      </w:r>
      <w:r>
        <w:rPr>
          <w:rFonts w:ascii="Times New Roman" w:hAnsi="Times New Roman" w:eastAsia="方正仿宋_GBK" w:cs="Times New Roman"/>
          <w:sz w:val="32"/>
          <w:szCs w:val="32"/>
        </w:rPr>
        <w:t>。农机购置补贴资金申请数量达到当年可用资金总量110%的，及时在网站上发布公告，停止受理补贴申请。同一补贴对象在同一个实施年度内享受补贴总资金超出60万元（含）的须由区级农机购置补贴工作领导小组审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（四）审验公示信息。</w:t>
      </w:r>
      <w:r>
        <w:rPr>
          <w:rFonts w:ascii="Times New Roman" w:hAnsi="Times New Roman" w:eastAsia="方正仿宋_GBK" w:cs="Times New Roman"/>
          <w:bCs/>
          <w:sz w:val="32"/>
          <w:szCs w:val="32"/>
        </w:rPr>
        <w:t>麒麟区</w:t>
      </w:r>
      <w:r>
        <w:rPr>
          <w:rFonts w:ascii="Times New Roman" w:hAnsi="Times New Roman" w:eastAsia="方正仿宋_GBK" w:cs="Times New Roman"/>
          <w:sz w:val="32"/>
          <w:szCs w:val="32"/>
        </w:rPr>
        <w:t>农业农村局按照《农机购置补贴机具核验工作要点（试行）》等要求，区分重点和非重点机具，对补贴相关申请资料进行形式审核，对补贴机具进行核验，其中牌证管理机具凭牌证免于现场实物核验。单机补贴额低于800元（含）、近2年未发生违规行为的机具可采取补贴资金兑付后30个工作日内按不低于20%的比例进行抽查核验，核验内容同重点机具。镇街道农机管理部门在收到购机者补贴申请后，需在2个工作日内做出是否受理的决定，对因资料不齐全等原因无法受理的，应注明原因，并按原渠道退回申请；对符合条件可以受理的，需在13个工作日内</w:t>
      </w:r>
      <w:r>
        <w:rPr>
          <w:rFonts w:hint="eastAsia" w:ascii="方正仿宋_GBK" w:hAnsi="Times New Roman" w:eastAsia="方正仿宋_GBK" w:cs="Times New Roman"/>
          <w:sz w:val="32"/>
          <w:szCs w:val="32"/>
        </w:rPr>
        <w:t>(不含公示时间)</w:t>
      </w:r>
      <w:r>
        <w:rPr>
          <w:rFonts w:ascii="Times New Roman" w:hAnsi="Times New Roman" w:eastAsia="方正仿宋_GBK" w:cs="Times New Roman"/>
          <w:sz w:val="32"/>
          <w:szCs w:val="32"/>
        </w:rPr>
        <w:t>完成相关核验工作，并在农机购置补贴信息公开专栏及麒麟区政府门户网实时公布补贴申请信息，公示时间为5个工作日。鼓励在乡村或补贴申请点公示栏中同时公开公示信息。结合我区工作实际，购机者通过手机APP提交申请信息后，必须在2个工作日内补充完善补贴资金申请材料。</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（五）兑付补贴资金。</w:t>
      </w:r>
      <w:r>
        <w:rPr>
          <w:rFonts w:ascii="Times New Roman" w:hAnsi="Times New Roman" w:eastAsia="方正仿宋_GBK" w:cs="Times New Roman"/>
          <w:sz w:val="32"/>
          <w:szCs w:val="32"/>
        </w:rPr>
        <w:t>区财政局审核区农业农村局提交的资金兑付申请，复核农机购置补贴资金结算明细表（详见附件</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）等有关材料，于15个工作日内向符合要求的购机者兑付补贴资金，到农户的补贴款通过惠农补</w:t>
      </w:r>
      <w:r>
        <w:rPr>
          <w:rFonts w:hint="eastAsia" w:ascii="方正仿宋_GBK" w:hAnsi="Times New Roman" w:eastAsia="方正仿宋_GBK" w:cs="Times New Roman"/>
          <w:sz w:val="32"/>
          <w:szCs w:val="32"/>
        </w:rPr>
        <w:t>贴“一卡通”发</w:t>
      </w:r>
      <w:r>
        <w:rPr>
          <w:rFonts w:ascii="Times New Roman" w:hAnsi="Times New Roman" w:eastAsia="方正仿宋_GBK" w:cs="Times New Roman"/>
          <w:sz w:val="32"/>
          <w:szCs w:val="32"/>
        </w:rPr>
        <w:t>放，到其他购机者的补贴款通过国库集中支付方式发放。因资金不足或加强监管等原因需要延期兑付的，应及时告知购机者，并及时与区农业农村局联合向上报告资金供需情况。</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spacing w:line="60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八、实施要求</w:t>
      </w:r>
    </w:p>
    <w:p>
      <w:pPr>
        <w:spacing w:line="600" w:lineRule="exact"/>
        <w:ind w:firstLine="640" w:firstLineChars="200"/>
        <w:rPr>
          <w:rFonts w:ascii="Times New Roman" w:hAnsi="Times New Roman" w:eastAsia="方正仿宋_GBK" w:cs="Times New Roman"/>
          <w:bCs/>
          <w:sz w:val="32"/>
          <w:szCs w:val="32"/>
        </w:rPr>
      </w:pPr>
      <w:r>
        <w:rPr>
          <w:rFonts w:hint="eastAsia" w:ascii="方正楷体_GBK" w:hAnsi="Times New Roman" w:eastAsia="方正楷体_GBK" w:cs="Times New Roman"/>
          <w:sz w:val="32"/>
          <w:szCs w:val="32"/>
        </w:rPr>
        <w:t>（一）加强领导，明确分工</w:t>
      </w:r>
      <w:r>
        <w:rPr>
          <w:rFonts w:hint="eastAsia" w:ascii="方正楷体_GBK" w:hAnsi="宋体" w:eastAsia="方正楷体_GBK" w:cs="Times New Roman"/>
          <w:sz w:val="32"/>
          <w:szCs w:val="32"/>
        </w:rPr>
        <w:t>。</w:t>
      </w:r>
      <w:r>
        <w:rPr>
          <w:rFonts w:ascii="Times New Roman" w:hAnsi="Times New Roman" w:eastAsia="方正仿宋_GBK" w:cs="Times New Roman"/>
          <w:bCs/>
          <w:sz w:val="32"/>
          <w:szCs w:val="32"/>
        </w:rPr>
        <w:t>为确保2021-2023年全区农机购置补贴工作科学有效实施，成立由分管农业的副区长任组长，农业、监察、审计、财政等相关部门参加的区级农机购置补贴工作领导小组及办公室，共同研究确定补贴资金使用、重点推广机具种类等事宜，并对补贴政策的实施进行监管。根据</w:t>
      </w:r>
      <w:r>
        <w:rPr>
          <w:rFonts w:ascii="Times New Roman" w:hAnsi="Times New Roman" w:eastAsia="方正仿宋_GBK" w:cs="Times New Roman"/>
          <w:sz w:val="32"/>
          <w:szCs w:val="32"/>
        </w:rPr>
        <w:t>《曲靖市麒麟区人民政府办公室关于成立麒麟区2017年农机购置补贴领导小组的通知》（麒区政办〔2017〕102号）：</w:t>
      </w:r>
      <w:r>
        <w:rPr>
          <w:rFonts w:hint="eastAsia" w:ascii="方正仿宋_GBK" w:hAnsi="Times New Roman" w:eastAsia="方正仿宋_GBK" w:cs="Times New Roman"/>
          <w:sz w:val="32"/>
          <w:szCs w:val="32"/>
        </w:rPr>
        <w:t>“领导小组成员因工作发生变动，由相应职务人员替补，不再另发文”</w:t>
      </w:r>
      <w:r>
        <w:rPr>
          <w:rFonts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区农业农村局、区财政局、各镇(街道）农机管理及相关部门要进一步提高思想认识，</w:t>
      </w:r>
      <w:r>
        <w:rPr>
          <w:rFonts w:ascii="Times New Roman" w:hAnsi="Times New Roman" w:eastAsia="方正仿宋_GBK" w:cs="Times New Roman"/>
          <w:sz w:val="32"/>
          <w:szCs w:val="32"/>
        </w:rPr>
        <w:t>切实加强组织协调，密切沟通配合，健全完善风险防控工作制度和内部控制规程，明确职责分工，形成工作合力。组织开展业务培训和廉政警示教育，提高补贴工作人员业务素质和风险防控能力。对实施过程中出现的问题，要认真研究解决，重大问题及时逐级上报</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农业农村局、区财政局要在区人民政府领导下组织实施农机购置补贴政策，共同做好补贴资金需求摸底、补贴对象确认、补贴机具核验、补贴机具兑付、违规行为查处等工作，重大事项须提交区农机购置补贴领导小组集体研究决策。规范建立购机补贴档案资料。</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（二）优化服务，提升效能</w:t>
      </w:r>
      <w:r>
        <w:rPr>
          <w:rFonts w:hint="eastAsia" w:ascii="方正楷体_GBK" w:hAnsi="宋体" w:eastAsia="方正楷体_GBK" w:cs="Times New Roman"/>
          <w:sz w:val="32"/>
          <w:szCs w:val="32"/>
        </w:rPr>
        <w:t>。</w:t>
      </w:r>
      <w:r>
        <w:rPr>
          <w:rFonts w:ascii="Times New Roman" w:hAnsi="Times New Roman" w:eastAsia="方正仿宋_GBK" w:cs="Times New Roman"/>
          <w:color w:val="000000" w:themeColor="text1"/>
          <w:sz w:val="32"/>
          <w:szCs w:val="32"/>
          <w14:textFill>
            <w14:solidFill>
              <w14:schemeClr w14:val="tx1"/>
            </w14:solidFill>
          </w14:textFill>
        </w:rPr>
        <w:t>依托办理服务系统，动态分析办理补贴申请具体时限，及时预警和定期通报超时办理行为，切实加快补贴申请受理、资格审核、机具核验、资金兑付等工作。严格落实办理服务系统常年连续开放，推广使用带有人脸识别功能的手机App等信息化技术，方便购机者随时在线提交补贴申请、应录尽录。</w:t>
      </w:r>
      <w:r>
        <w:rPr>
          <w:rFonts w:ascii="Times New Roman" w:hAnsi="Times New Roman" w:eastAsia="方正仿宋_GBK" w:cs="Times New Roman"/>
          <w:sz w:val="32"/>
          <w:szCs w:val="32"/>
        </w:rPr>
        <w:t>提高补贴机具核验信息化水平，加快农机试验鉴定、补贴机具投档、牌证管理、补贴资金申领等环节信息系统的</w:t>
      </w:r>
      <w:r>
        <w:rPr>
          <w:rFonts w:hint="eastAsia" w:ascii="方正仿宋_GBK" w:hAnsi="宋体" w:eastAsia="方正仿宋_GBK" w:cs="宋体"/>
          <w:sz w:val="32"/>
          <w:szCs w:val="32"/>
        </w:rPr>
        <w:t>互联互通，推动补贴机具由人工核验向信息化核验转变；积极探索补贴申请、核验、兑付全流程线上办理新模式，推进农机购置补贴实施与监管信息化技术集成应用。畅通产业链供应链，营造良好营商环境，保障市场主体合法权益，对经司法机关认定为恶意拖欠农机生产经销企业购机款的购机者，取消其享受补贴资格。生产企业要及时、准确、完整把具体补贴机具相关信息（出</w:t>
      </w:r>
      <w:r>
        <w:rPr>
          <w:rFonts w:ascii="Times New Roman" w:hAnsi="Times New Roman" w:eastAsia="方正仿宋_GBK" w:cs="Times New Roman"/>
          <w:sz w:val="32"/>
          <w:szCs w:val="32"/>
        </w:rPr>
        <w:t>厂编号、发动机编号、经销商等信息）录入到办理服务系统中，确保购机者随时在线提交补贴申请。</w:t>
      </w:r>
    </w:p>
    <w:p>
      <w:pPr>
        <w:spacing w:line="580" w:lineRule="exact"/>
        <w:ind w:firstLine="640" w:firstLineChars="200"/>
        <w:rPr>
          <w:rFonts w:ascii="Times New Roman" w:hAnsi="Times New Roman" w:eastAsia="宋体" w:cs="Times New Roman"/>
          <w:sz w:val="32"/>
          <w:szCs w:val="32"/>
        </w:rPr>
      </w:pPr>
      <w:r>
        <w:rPr>
          <w:rFonts w:ascii="Times New Roman" w:hAnsi="Times New Roman" w:eastAsia="方正楷体_GBK" w:cs="Times New Roman"/>
          <w:sz w:val="32"/>
          <w:szCs w:val="32"/>
        </w:rPr>
        <w:t>（三）公开信息，接受监督。</w:t>
      </w:r>
      <w:r>
        <w:rPr>
          <w:rFonts w:ascii="Times New Roman" w:hAnsi="Times New Roman" w:eastAsia="方正仿宋_GBK" w:cs="Times New Roman"/>
          <w:sz w:val="32"/>
          <w:szCs w:val="32"/>
        </w:rPr>
        <w:t>因地制宜、综合运用宣传挂图、报纸杂志、广播电视、互联网等方式，探索补贴信息公开向村和社区延伸，全方位开展补贴政策与实施工作宣传解读，着力提升政策知晓率，切实保障购机者、生产经销企业和广大农民群众的知情权、监督权。健全完善农机购置补贴信息公开专栏，规范信息公开专栏名称，公开补贴相关政策、实施情况、投诉举报渠道、违规查处结果等信息，主动接受社会监督。区农业农村局按年度规范公开近三年区域内补贴受益信息（附件3），公开信息时，严禁对外公布购机者身份证号、通讯方式、银行账号等隐私信息。</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（四）加强监管，严惩违规。</w:t>
      </w:r>
      <w:r>
        <w:rPr>
          <w:rFonts w:ascii="Times New Roman" w:hAnsi="Times New Roman" w:eastAsia="方正仿宋_GBK" w:cs="Times New Roman"/>
          <w:sz w:val="32"/>
          <w:szCs w:val="32"/>
        </w:rPr>
        <w:t>全面贯彻《云南省2021-2023年农机购置补贴实施方案》和《农业农村部办公厅、财政部办公厅关于进一步加强农机购置补贴政策监管强化纪律约束的通知》（农办机〔2019〕6号）和《云南省农业农村厅、云南省财政厅关于修订印发〈云南省农机购置补贴产品违规经营行为处理办法（试行）〉的通知（2020年12月修订）》（云农机〔2021〕1号）要求，认真落实风险防控责任和异常情形报告制度的要求，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pPr>
        <w:spacing w:line="580" w:lineRule="exact"/>
        <w:ind w:firstLine="640" w:firstLineChars="200"/>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九、其它要求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麒麟区购机办、各镇（街道）农机管理部门要根据实施方案，紧密配合，精心组织，扎实工作，圆满完成各项目标任务。各镇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街道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农机管理部门要对农机购置补贴实施情况进行认真总结，于每年11月30日前将全年工作总结报区购机办。区农业农村局、财政局于每年12月5日前，将全年中央财政农机购置补贴实施绩效报告报送曲靖市农业农村局、财政局。</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区农业农村局监督电话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0874-3122765</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农机购置补贴政策咨询电话：0874-3119393</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驻区农业农村局纪检组电话：0874-3109067</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农机质量投诉电话：0874-3130609</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区财政局监督电话：0874-3316631</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云南省2021-2023年农机购置补贴机具种类范围</w:t>
      </w:r>
    </w:p>
    <w:p>
      <w:pPr>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年麒麟区农机购置补贴资金结算明细表</w:t>
      </w:r>
    </w:p>
    <w:p>
      <w:pPr>
        <w:spacing w:line="600" w:lineRule="exact"/>
        <w:ind w:firstLine="1600" w:firstLineChars="500"/>
        <w:rPr>
          <w:rFonts w:ascii="Times New Roman" w:hAnsi="Times New Roman" w:eastAsia="方正仿宋_GBK" w:cs="Times New Roman"/>
          <w:spacing w:val="-8"/>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pacing w:val="-8"/>
          <w:sz w:val="32"/>
          <w:szCs w:val="32"/>
        </w:rPr>
        <w:t>年麒麟区享受农机购置补贴的购机者信息表</w:t>
      </w:r>
    </w:p>
    <w:p>
      <w:pPr>
        <w:spacing w:line="600" w:lineRule="exact"/>
        <w:ind w:firstLine="1520" w:firstLineChars="500"/>
        <w:rPr>
          <w:rFonts w:ascii="Times New Roman" w:hAnsi="Times New Roman" w:eastAsia="方正仿宋_GBK" w:cs="Times New Roman"/>
          <w:spacing w:val="-8"/>
          <w:sz w:val="32"/>
          <w:szCs w:val="32"/>
        </w:rPr>
      </w:pPr>
    </w:p>
    <w:p>
      <w:pPr>
        <w:spacing w:line="600" w:lineRule="exact"/>
        <w:ind w:firstLine="1520" w:firstLineChars="500"/>
        <w:rPr>
          <w:rFonts w:ascii="Times New Roman" w:hAnsi="Times New Roman" w:eastAsia="方正仿宋_GBK" w:cs="Times New Roman"/>
          <w:spacing w:val="-8"/>
          <w:sz w:val="32"/>
          <w:szCs w:val="32"/>
        </w:rPr>
      </w:pPr>
    </w:p>
    <w:p>
      <w:pPr>
        <w:spacing w:line="600" w:lineRule="exact"/>
        <w:ind w:firstLine="1520" w:firstLineChars="500"/>
        <w:rPr>
          <w:rFonts w:ascii="Times New Roman" w:hAnsi="Times New Roman" w:eastAsia="方正仿宋_GBK" w:cs="Times New Roman"/>
          <w:spacing w:val="-8"/>
          <w:sz w:val="32"/>
          <w:szCs w:val="32"/>
        </w:rPr>
      </w:pPr>
    </w:p>
    <w:p>
      <w:pPr>
        <w:spacing w:line="600" w:lineRule="exact"/>
        <w:ind w:firstLine="1520" w:firstLineChars="500"/>
        <w:rPr>
          <w:rFonts w:ascii="Times New Roman" w:hAnsi="Times New Roman" w:eastAsia="方正仿宋_GBK" w:cs="Times New Roman"/>
          <w:spacing w:val="-8"/>
          <w:sz w:val="32"/>
          <w:szCs w:val="32"/>
        </w:rPr>
      </w:pPr>
    </w:p>
    <w:p>
      <w:pPr>
        <w:spacing w:line="600" w:lineRule="exact"/>
        <w:ind w:firstLine="1520" w:firstLineChars="500"/>
        <w:rPr>
          <w:rFonts w:ascii="Times New Roman" w:hAnsi="Times New Roman" w:eastAsia="方正仿宋_GBK" w:cs="Times New Roman"/>
          <w:spacing w:val="-8"/>
          <w:sz w:val="32"/>
          <w:szCs w:val="32"/>
        </w:rPr>
      </w:pPr>
    </w:p>
    <w:p>
      <w:pPr>
        <w:spacing w:line="600" w:lineRule="exact"/>
        <w:ind w:firstLine="1520" w:firstLineChars="500"/>
        <w:rPr>
          <w:rFonts w:ascii="Times New Roman" w:hAnsi="Times New Roman" w:eastAsia="方正仿宋_GBK" w:cs="Times New Roman"/>
          <w:spacing w:val="-8"/>
          <w:sz w:val="32"/>
          <w:szCs w:val="32"/>
        </w:rPr>
      </w:pPr>
    </w:p>
    <w:p>
      <w:pPr>
        <w:spacing w:line="600" w:lineRule="exact"/>
        <w:ind w:firstLine="1520" w:firstLineChars="500"/>
        <w:rPr>
          <w:rFonts w:ascii="Times New Roman" w:hAnsi="Times New Roman" w:eastAsia="方正仿宋_GBK" w:cs="Times New Roman"/>
          <w:spacing w:val="-8"/>
          <w:sz w:val="32"/>
          <w:szCs w:val="32"/>
        </w:rPr>
      </w:pPr>
    </w:p>
    <w:p>
      <w:pPr>
        <w:pBdr>
          <w:top w:val="single" w:color="auto" w:sz="4" w:space="0"/>
          <w:bottom w:val="single" w:color="auto" w:sz="4" w:space="1"/>
        </w:pBd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曲靖市麒麟区农业农村局              2021年</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28</w:t>
      </w:r>
      <w:r>
        <w:rPr>
          <w:rFonts w:ascii="Times New Roman" w:hAnsi="Times New Roman" w:eastAsia="方正仿宋_GBK" w:cs="Times New Roman"/>
          <w:sz w:val="32"/>
          <w:szCs w:val="32"/>
        </w:rPr>
        <w:t>日印发</w:t>
      </w:r>
    </w:p>
    <w:p>
      <w:pPr>
        <w:spacing w:line="60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附件1：</w:t>
      </w:r>
    </w:p>
    <w:p>
      <w:pPr>
        <w:spacing w:line="600" w:lineRule="exact"/>
        <w:ind w:firstLine="640" w:firstLineChars="200"/>
        <w:rPr>
          <w:rFonts w:ascii="Times New Roman" w:hAnsi="Times New Roman" w:eastAsia="宋体" w:cs="Times New Roman"/>
          <w:sz w:val="32"/>
          <w:szCs w:val="32"/>
        </w:rPr>
      </w:pP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云南省2021-2023年农机购置补贴</w:t>
      </w:r>
    </w:p>
    <w:p>
      <w:pPr>
        <w:spacing w:line="600" w:lineRule="exact"/>
        <w:jc w:val="center"/>
        <w:rPr>
          <w:rFonts w:ascii="方正小标宋_GBK" w:hAnsi="Times New Roman" w:eastAsia="方正小标宋_GBK" w:cs="Times New Roman"/>
          <w:sz w:val="32"/>
          <w:szCs w:val="32"/>
        </w:rPr>
      </w:pPr>
      <w:r>
        <w:rPr>
          <w:rFonts w:hint="eastAsia" w:ascii="方正小标宋_GBK" w:hAnsi="Times New Roman" w:eastAsia="方正小标宋_GBK" w:cs="Times New Roman"/>
          <w:sz w:val="44"/>
          <w:szCs w:val="44"/>
        </w:rPr>
        <w:t>机具种类范围</w:t>
      </w:r>
    </w:p>
    <w:p>
      <w:pPr>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(15大类41个小类138个品目)</w:t>
      </w:r>
    </w:p>
    <w:p>
      <w:pPr>
        <w:widowControl/>
        <w:spacing w:line="560" w:lineRule="exact"/>
        <w:ind w:firstLine="640" w:firstLineChars="200"/>
        <w:rPr>
          <w:rFonts w:ascii="黑体" w:hAnsi="黑体" w:eastAsia="黑体" w:cs="Times New Roman"/>
          <w:sz w:val="32"/>
          <w:szCs w:val="32"/>
        </w:rPr>
      </w:pPr>
    </w:p>
    <w:p>
      <w:pPr>
        <w:widowControl/>
        <w:spacing w:line="560" w:lineRule="exact"/>
        <w:ind w:firstLine="640" w:firstLineChars="200"/>
        <w:rPr>
          <w:rFonts w:ascii="Times New Roman" w:hAnsi="Times New Roman" w:eastAsia="方正黑体_GBK" w:cs="Times New Roman"/>
          <w:sz w:val="32"/>
          <w:szCs w:val="32"/>
        </w:rPr>
      </w:pPr>
      <w:r>
        <w:rPr>
          <w:rFonts w:ascii="黑体" w:hAnsi="黑体" w:eastAsia="黑体" w:cs="Times New Roman"/>
          <w:sz w:val="32"/>
          <w:szCs w:val="32"/>
        </w:rPr>
        <w:t>1．</w:t>
      </w:r>
      <w:r>
        <w:rPr>
          <w:rFonts w:ascii="Times New Roman" w:hAnsi="Times New Roman" w:eastAsia="方正黑体_GBK" w:cs="Times New Roman"/>
          <w:sz w:val="32"/>
          <w:szCs w:val="32"/>
        </w:rPr>
        <w:t>耕整地机械</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1.1耕地机械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1.1.1铧式犁</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1.1.2旋耕机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1.1.3深松机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1.1.4开沟机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1.1.5耕整机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1.1.6微耕机</w:t>
      </w:r>
    </w:p>
    <w:p>
      <w:pPr>
        <w:widowControl/>
        <w:spacing w:line="560" w:lineRule="exact"/>
        <w:ind w:firstLine="1120" w:firstLineChars="350"/>
        <w:rPr>
          <w:rFonts w:ascii="方正楷体_GBK" w:hAnsi="Times New Roman" w:eastAsia="方正楷体_GBK" w:cs="Times New Roman"/>
          <w:bCs/>
          <w:sz w:val="32"/>
          <w:szCs w:val="32"/>
        </w:rPr>
      </w:pPr>
      <w:r>
        <w:rPr>
          <w:rFonts w:ascii="Times New Roman" w:hAnsi="Times New Roman" w:eastAsia="方正楷体_GBK" w:cs="Times New Roman"/>
          <w:bCs/>
          <w:sz w:val="32"/>
          <w:szCs w:val="32"/>
        </w:rPr>
        <w:t>1.2</w:t>
      </w:r>
      <w:r>
        <w:rPr>
          <w:rFonts w:hint="eastAsia" w:ascii="方正楷体_GBK" w:hAnsi="Times New Roman" w:eastAsia="方正楷体_GBK" w:cs="Times New Roman"/>
          <w:bCs/>
          <w:sz w:val="32"/>
          <w:szCs w:val="32"/>
        </w:rPr>
        <w:t>整地机械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1.2.1起垄机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1.2.2灭茬机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1.2.3筑埂机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1.2.4铺膜机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1.2.5联合整地机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1.2.6埋茬起浆机</w:t>
      </w:r>
    </w:p>
    <w:p>
      <w:pPr>
        <w:widowControl/>
        <w:spacing w:line="560" w:lineRule="exact"/>
        <w:ind w:firstLine="640" w:firstLineChars="200"/>
        <w:rPr>
          <w:rFonts w:ascii="Times New Roman" w:hAnsi="Times New Roman" w:eastAsia="方正仿宋_GBK" w:cs="Times New Roman"/>
          <w:sz w:val="32"/>
          <w:szCs w:val="32"/>
        </w:rPr>
      </w:pPr>
      <w:r>
        <w:rPr>
          <w:rFonts w:ascii="黑体" w:hAnsi="黑体" w:eastAsia="黑体" w:cs="Times New Roman"/>
          <w:sz w:val="32"/>
          <w:szCs w:val="32"/>
        </w:rPr>
        <w:t>2</w:t>
      </w:r>
      <w:r>
        <w:rPr>
          <w:rFonts w:ascii="Times New Roman" w:hAnsi="Times New Roman" w:eastAsia="方正黑体_GBK" w:cs="Times New Roman"/>
          <w:sz w:val="32"/>
          <w:szCs w:val="32"/>
        </w:rPr>
        <w:t>．种植施肥机械</w:t>
      </w:r>
    </w:p>
    <w:p>
      <w:pPr>
        <w:widowControl/>
        <w:spacing w:line="560" w:lineRule="exact"/>
        <w:ind w:firstLine="1120" w:firstLineChars="350"/>
        <w:rPr>
          <w:rFonts w:ascii="方正楷体_GBK" w:hAnsi="Times New Roman" w:eastAsia="方正楷体_GBK" w:cs="Times New Roman"/>
          <w:bCs/>
          <w:sz w:val="32"/>
          <w:szCs w:val="32"/>
        </w:rPr>
      </w:pPr>
      <w:r>
        <w:rPr>
          <w:rFonts w:ascii="Times New Roman" w:hAnsi="Times New Roman" w:eastAsia="方正楷体_GBK" w:cs="Times New Roman"/>
          <w:bCs/>
          <w:sz w:val="32"/>
          <w:szCs w:val="32"/>
        </w:rPr>
        <w:t>2.1</w:t>
      </w:r>
      <w:r>
        <w:rPr>
          <w:rFonts w:hint="eastAsia" w:ascii="方正楷体_GBK" w:hAnsi="Times New Roman" w:eastAsia="方正楷体_GBK" w:cs="Times New Roman"/>
          <w:bCs/>
          <w:sz w:val="32"/>
          <w:szCs w:val="32"/>
        </w:rPr>
        <w:t>播种机械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2.1.1条播机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2.1.2穴播机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2.1.3小粒种子播种机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2.1.4根茎作物播种机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2.1.5免耕播种机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2.1.6水稻直播机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2.1.7精量播种机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2.1.8整地施肥播种机</w:t>
      </w:r>
    </w:p>
    <w:p>
      <w:pPr>
        <w:widowControl/>
        <w:spacing w:line="560" w:lineRule="exact"/>
        <w:ind w:firstLine="1120" w:firstLineChars="350"/>
        <w:rPr>
          <w:rFonts w:ascii="方正楷体_GBK" w:hAnsi="Times New Roman" w:eastAsia="方正楷体_GBK" w:cs="Times New Roman"/>
          <w:bCs/>
          <w:sz w:val="32"/>
          <w:szCs w:val="32"/>
        </w:rPr>
      </w:pPr>
      <w:r>
        <w:rPr>
          <w:rFonts w:ascii="Times New Roman" w:hAnsi="Times New Roman" w:eastAsia="方正楷体_GBK" w:cs="Times New Roman"/>
          <w:bCs/>
          <w:sz w:val="32"/>
          <w:szCs w:val="32"/>
        </w:rPr>
        <w:t>2.2</w:t>
      </w:r>
      <w:r>
        <w:rPr>
          <w:rFonts w:hint="eastAsia" w:ascii="方正楷体_GBK" w:hAnsi="Times New Roman" w:eastAsia="方正楷体_GBK" w:cs="Times New Roman"/>
          <w:bCs/>
          <w:sz w:val="32"/>
          <w:szCs w:val="32"/>
        </w:rPr>
        <w:t>育苗机械设备</w:t>
      </w:r>
    </w:p>
    <w:p>
      <w:pPr>
        <w:widowControl/>
        <w:spacing w:line="560" w:lineRule="exact"/>
        <w:ind w:firstLine="1120" w:firstLineChars="350"/>
        <w:rPr>
          <w:rFonts w:ascii="方正仿宋_GBK" w:hAnsi="Times New Roman" w:eastAsia="方正仿宋_GBK" w:cs="Times New Roman"/>
          <w:sz w:val="32"/>
          <w:szCs w:val="32"/>
        </w:rPr>
      </w:pPr>
      <w:r>
        <w:rPr>
          <w:rFonts w:ascii="Times New Roman" w:hAnsi="Times New Roman" w:eastAsia="方正楷体_GBK" w:cs="Times New Roman"/>
          <w:sz w:val="32"/>
          <w:szCs w:val="32"/>
        </w:rPr>
        <w:t>2.2.1</w:t>
      </w:r>
      <w:r>
        <w:rPr>
          <w:rFonts w:hint="eastAsia" w:ascii="方正仿宋_GBK" w:hAnsi="Times New Roman" w:eastAsia="方正仿宋_GBK" w:cs="Times New Roman"/>
          <w:sz w:val="32"/>
          <w:szCs w:val="32"/>
        </w:rPr>
        <w:t>秧盘播种成套设备（含床土处理）</w:t>
      </w:r>
    </w:p>
    <w:p>
      <w:pPr>
        <w:widowControl/>
        <w:spacing w:line="560" w:lineRule="exact"/>
        <w:ind w:firstLine="1120" w:firstLineChars="35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2.3</w:t>
      </w:r>
      <w:r>
        <w:rPr>
          <w:rFonts w:hint="eastAsia" w:ascii="方正楷体_GBK" w:hAnsi="Times New Roman" w:eastAsia="方正楷体_GBK" w:cs="Times New Roman"/>
          <w:bCs/>
          <w:sz w:val="32"/>
          <w:szCs w:val="32"/>
        </w:rPr>
        <w:t>栽植机械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2.3.1水稻插秧机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2.3.2秧苗移栽机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2.3.3甘蔗种植机</w:t>
      </w:r>
    </w:p>
    <w:p>
      <w:pPr>
        <w:widowControl/>
        <w:spacing w:line="560" w:lineRule="exact"/>
        <w:ind w:firstLine="1120" w:firstLineChars="35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2.4</w:t>
      </w:r>
      <w:r>
        <w:rPr>
          <w:rFonts w:hint="eastAsia" w:ascii="方正楷体_GBK" w:hAnsi="Times New Roman" w:eastAsia="方正楷体_GBK" w:cs="Times New Roman"/>
          <w:bCs/>
          <w:sz w:val="32"/>
          <w:szCs w:val="32"/>
        </w:rPr>
        <w:t>施肥机械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2.4.1施肥机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2.4.2撒肥机</w:t>
      </w:r>
    </w:p>
    <w:p>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3．田间管理机械</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3.1中耕机械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3.1.1中耕机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3.1.2培土机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3.1.3田园管理机</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3.2植保机械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3.2.1动力喷雾机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3.2.2喷杆喷雾机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3.2.3风送喷雾机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3.2.4植保无人驾驶航空器</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3.3修剪机械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3.3.1茶树修剪机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3.3.2果树修剪机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3.3.3枝条切碎机</w:t>
      </w:r>
    </w:p>
    <w:p>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4．收获机械</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4.1谷物收获机械</w:t>
      </w:r>
    </w:p>
    <w:p>
      <w:pPr>
        <w:widowControl/>
        <w:spacing w:line="560" w:lineRule="exact"/>
        <w:ind w:firstLine="1104" w:firstLineChars="345"/>
        <w:rPr>
          <w:rFonts w:ascii="Times New Roman" w:hAnsi="Times New Roman" w:eastAsia="方正仿宋_GBK" w:cs="Times New Roman"/>
          <w:sz w:val="32"/>
          <w:szCs w:val="32"/>
        </w:rPr>
      </w:pPr>
      <w:r>
        <w:rPr>
          <w:rFonts w:ascii="Times New Roman" w:hAnsi="Times New Roman" w:eastAsia="方正仿宋_GBK" w:cs="Times New Roman"/>
          <w:sz w:val="32"/>
          <w:szCs w:val="32"/>
        </w:rPr>
        <w:t>4.1.1自走履带式谷物联合收割机（全喂入）</w:t>
      </w:r>
    </w:p>
    <w:p>
      <w:pPr>
        <w:widowControl/>
        <w:spacing w:line="560" w:lineRule="exact"/>
        <w:ind w:firstLine="1104" w:firstLineChars="345"/>
        <w:rPr>
          <w:rFonts w:ascii="Times New Roman" w:hAnsi="Times New Roman" w:eastAsia="方正仿宋_GBK" w:cs="Times New Roman"/>
          <w:sz w:val="32"/>
          <w:szCs w:val="32"/>
        </w:rPr>
      </w:pPr>
      <w:r>
        <w:rPr>
          <w:rFonts w:ascii="Times New Roman" w:hAnsi="Times New Roman" w:eastAsia="方正仿宋_GBK" w:cs="Times New Roman"/>
          <w:sz w:val="32"/>
          <w:szCs w:val="32"/>
        </w:rPr>
        <w:t>4.1.2半喂入联合收割机</w:t>
      </w:r>
    </w:p>
    <w:p>
      <w:pPr>
        <w:widowControl/>
        <w:spacing w:line="560" w:lineRule="exact"/>
        <w:ind w:firstLine="1120" w:firstLineChars="350"/>
        <w:rPr>
          <w:rFonts w:ascii="Times New Roman" w:hAnsi="Times New Roman" w:eastAsia="方正楷体_GBK" w:cs="Times New Roman"/>
          <w:b/>
          <w:bCs/>
          <w:sz w:val="32"/>
          <w:szCs w:val="32"/>
        </w:rPr>
      </w:pPr>
      <w:r>
        <w:rPr>
          <w:rFonts w:ascii="Times New Roman" w:hAnsi="Times New Roman" w:eastAsia="方正楷体_GBK" w:cs="Times New Roman"/>
          <w:bCs/>
          <w:sz w:val="32"/>
          <w:szCs w:val="32"/>
        </w:rPr>
        <w:t>4.2玉米收获机械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4.2.1自走式玉米收获机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4.2.2自走式玉米籽粒联合收获机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4.2.3穗茎兼收玉米收获机</w:t>
      </w:r>
    </w:p>
    <w:p>
      <w:pPr>
        <w:widowControl/>
        <w:spacing w:line="560" w:lineRule="exact"/>
        <w:ind w:firstLine="1200" w:firstLineChars="375"/>
        <w:rPr>
          <w:rFonts w:ascii="Times New Roman" w:hAnsi="Times New Roman" w:eastAsia="方正楷体_GBK" w:cs="Times New Roman"/>
          <w:sz w:val="32"/>
          <w:szCs w:val="32"/>
        </w:rPr>
      </w:pPr>
      <w:r>
        <w:rPr>
          <w:rFonts w:ascii="Times New Roman" w:hAnsi="Times New Roman" w:eastAsia="方正楷体_GBK" w:cs="Times New Roman"/>
          <w:bCs/>
          <w:sz w:val="32"/>
          <w:szCs w:val="32"/>
        </w:rPr>
        <w:t>4.3</w:t>
      </w:r>
      <w:r>
        <w:rPr>
          <w:rFonts w:ascii="Times New Roman" w:hAnsi="Times New Roman" w:eastAsia="方正楷体_GBK" w:cs="Times New Roman"/>
          <w:sz w:val="32"/>
          <w:szCs w:val="32"/>
        </w:rPr>
        <w:t>果实收获机械</w:t>
      </w:r>
    </w:p>
    <w:p>
      <w:pPr>
        <w:widowControl/>
        <w:spacing w:line="560" w:lineRule="exact"/>
        <w:ind w:firstLine="1152" w:firstLineChars="360"/>
        <w:rPr>
          <w:rFonts w:ascii="Times New Roman" w:hAnsi="Times New Roman" w:eastAsia="方正仿宋_GBK" w:cs="Times New Roman"/>
          <w:sz w:val="32"/>
          <w:szCs w:val="32"/>
        </w:rPr>
      </w:pPr>
      <w:r>
        <w:rPr>
          <w:rFonts w:ascii="Times New Roman" w:hAnsi="Times New Roman" w:eastAsia="方正仿宋_GBK" w:cs="Times New Roman"/>
          <w:sz w:val="32"/>
          <w:szCs w:val="32"/>
        </w:rPr>
        <w:t>4.3.1果实捡拾机</w:t>
      </w:r>
    </w:p>
    <w:p>
      <w:pPr>
        <w:widowControl/>
        <w:spacing w:line="560" w:lineRule="exact"/>
        <w:ind w:firstLine="1152" w:firstLineChars="360"/>
        <w:rPr>
          <w:rFonts w:ascii="Times New Roman" w:hAnsi="Times New Roman" w:eastAsia="方正仿宋_GBK" w:cs="Times New Roman"/>
          <w:sz w:val="32"/>
          <w:szCs w:val="32"/>
        </w:rPr>
      </w:pPr>
      <w:r>
        <w:rPr>
          <w:rFonts w:ascii="Times New Roman" w:hAnsi="Times New Roman" w:eastAsia="方正仿宋_GBK" w:cs="Times New Roman"/>
          <w:sz w:val="32"/>
          <w:szCs w:val="32"/>
        </w:rPr>
        <w:t>4.3.2辣椒收获机</w:t>
      </w:r>
    </w:p>
    <w:p>
      <w:pPr>
        <w:widowControl/>
        <w:spacing w:line="560" w:lineRule="exact"/>
        <w:ind w:firstLine="1184" w:firstLineChars="370"/>
        <w:rPr>
          <w:rFonts w:ascii="Times New Roman" w:hAnsi="Times New Roman" w:eastAsia="方正楷体_GBK" w:cs="Times New Roman"/>
          <w:sz w:val="32"/>
          <w:szCs w:val="32"/>
        </w:rPr>
      </w:pPr>
      <w:r>
        <w:rPr>
          <w:rFonts w:ascii="Times New Roman" w:hAnsi="Times New Roman" w:eastAsia="方正楷体_GBK" w:cs="Times New Roman"/>
          <w:bCs/>
          <w:sz w:val="32"/>
          <w:szCs w:val="32"/>
        </w:rPr>
        <w:t>4.4</w:t>
      </w:r>
      <w:r>
        <w:rPr>
          <w:rFonts w:ascii="Times New Roman" w:hAnsi="Times New Roman" w:eastAsia="方正楷体_GBK" w:cs="Times New Roman"/>
          <w:sz w:val="32"/>
          <w:szCs w:val="32"/>
        </w:rPr>
        <w:t>蔬菜收获机械</w:t>
      </w:r>
    </w:p>
    <w:p>
      <w:pPr>
        <w:widowControl/>
        <w:spacing w:line="560" w:lineRule="exact"/>
        <w:ind w:firstLine="1184" w:firstLineChars="370"/>
        <w:rPr>
          <w:rFonts w:ascii="Times New Roman" w:hAnsi="Times New Roman" w:eastAsia="方正仿宋_GBK" w:cs="Times New Roman"/>
          <w:sz w:val="32"/>
          <w:szCs w:val="32"/>
        </w:rPr>
      </w:pPr>
      <w:r>
        <w:rPr>
          <w:rFonts w:ascii="Times New Roman" w:hAnsi="Times New Roman" w:eastAsia="方正仿宋_GBK" w:cs="Times New Roman"/>
          <w:sz w:val="32"/>
          <w:szCs w:val="32"/>
        </w:rPr>
        <w:t>4.4.1果类蔬菜收获机</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4.5花卉（茶叶）采收机械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4.5.1采茶机</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4.6籽粒作物收获机械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4.6.1油菜籽收获机</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4.7根茎作物收获机械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4.7.1薯类收获机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4.7.2甘蔗收获机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4.7.3甘蔗割铺机</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4.8饲料作物收获机械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4.8.1割草机（含果园无人割草机）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4.8.2打（压）捆机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4.8.3圆草捆包膜机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4.8.4青饲料收获机</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4.9茎秆收集处理机械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4.9.1秸秆粉碎还田机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4.9.2高秆作物割晒机</w:t>
      </w:r>
    </w:p>
    <w:p>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5．收获后处理机械</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5.1脱粒机械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5.1.1稻麦脱粒机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5.1.2玉米脱粒机</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5.2清选机械</w:t>
      </w:r>
    </w:p>
    <w:p>
      <w:pPr>
        <w:widowControl/>
        <w:spacing w:line="560" w:lineRule="exact"/>
        <w:ind w:firstLine="1129" w:firstLineChars="353"/>
        <w:rPr>
          <w:rFonts w:ascii="Times New Roman" w:hAnsi="Times New Roman" w:eastAsia="方正仿宋_GBK" w:cs="Times New Roman"/>
          <w:bCs/>
          <w:sz w:val="32"/>
          <w:szCs w:val="32"/>
        </w:rPr>
      </w:pPr>
      <w:r>
        <w:rPr>
          <w:rFonts w:ascii="Times New Roman" w:hAnsi="Times New Roman" w:eastAsia="方正仿宋_GBK" w:cs="Times New Roman"/>
          <w:sz w:val="32"/>
          <w:szCs w:val="32"/>
        </w:rPr>
        <w:t>5.2.1</w:t>
      </w:r>
      <w:r>
        <w:rPr>
          <w:rFonts w:ascii="Times New Roman" w:hAnsi="Times New Roman" w:eastAsia="方正仿宋_GBK" w:cs="Times New Roman"/>
          <w:bCs/>
          <w:sz w:val="32"/>
          <w:szCs w:val="32"/>
        </w:rPr>
        <w:t>重力清选机</w:t>
      </w:r>
    </w:p>
    <w:p>
      <w:pPr>
        <w:widowControl/>
        <w:spacing w:line="560" w:lineRule="exact"/>
        <w:ind w:firstLine="1129" w:firstLineChars="353"/>
        <w:rPr>
          <w:rFonts w:ascii="Times New Roman" w:hAnsi="Times New Roman" w:eastAsia="方正仿宋_GBK" w:cs="Times New Roman"/>
          <w:bCs/>
          <w:sz w:val="32"/>
          <w:szCs w:val="32"/>
        </w:rPr>
      </w:pPr>
      <w:r>
        <w:rPr>
          <w:rFonts w:ascii="Times New Roman" w:hAnsi="Times New Roman" w:eastAsia="方正仿宋_GBK" w:cs="Times New Roman"/>
          <w:sz w:val="32"/>
          <w:szCs w:val="32"/>
        </w:rPr>
        <w:t>5.2.2</w:t>
      </w:r>
      <w:r>
        <w:rPr>
          <w:rFonts w:ascii="Times New Roman" w:hAnsi="Times New Roman" w:eastAsia="方正仿宋_GBK" w:cs="Times New Roman"/>
          <w:bCs/>
          <w:sz w:val="32"/>
          <w:szCs w:val="32"/>
        </w:rPr>
        <w:t>窝眼清选机</w:t>
      </w:r>
    </w:p>
    <w:p>
      <w:pPr>
        <w:widowControl/>
        <w:spacing w:line="560" w:lineRule="exact"/>
        <w:ind w:firstLine="1120" w:firstLineChars="35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5.2.3</w:t>
      </w:r>
      <w:r>
        <w:rPr>
          <w:rFonts w:ascii="Times New Roman" w:hAnsi="Times New Roman" w:eastAsia="方正仿宋_GBK" w:cs="Times New Roman"/>
          <w:bCs/>
          <w:sz w:val="32"/>
          <w:szCs w:val="32"/>
        </w:rPr>
        <w:t>复式清选机</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5.3干燥机械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5.3.1谷物烘干机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5.3.2果蔬烘干机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5.3.3油菜籽烘干机</w:t>
      </w:r>
    </w:p>
    <w:p>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6. 农产品初加工机械</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6.1碾米机械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6.1.1碾米机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6.1.2组合米机</w:t>
      </w:r>
    </w:p>
    <w:p>
      <w:pPr>
        <w:widowControl/>
        <w:spacing w:line="560" w:lineRule="exact"/>
        <w:ind w:firstLine="1200" w:firstLineChars="375"/>
        <w:rPr>
          <w:rFonts w:ascii="Times New Roman" w:hAnsi="Times New Roman" w:eastAsia="方正楷体_GBK" w:cs="Times New Roman"/>
          <w:sz w:val="32"/>
          <w:szCs w:val="32"/>
        </w:rPr>
      </w:pPr>
      <w:r>
        <w:rPr>
          <w:rFonts w:ascii="Times New Roman" w:hAnsi="Times New Roman" w:eastAsia="方正楷体_GBK" w:cs="Times New Roman"/>
          <w:bCs/>
          <w:sz w:val="32"/>
          <w:szCs w:val="32"/>
        </w:rPr>
        <w:t>6.2</w:t>
      </w:r>
      <w:r>
        <w:rPr>
          <w:rFonts w:ascii="Times New Roman" w:hAnsi="Times New Roman" w:eastAsia="方正楷体_GBK" w:cs="Times New Roman"/>
          <w:sz w:val="32"/>
          <w:szCs w:val="32"/>
        </w:rPr>
        <w:t>磨粉（浆）机械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6.2.1磨粉机</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6.3果蔬加工机械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6.3.1水果分级机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6.3.2水果清洗机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6.3.3水果打蜡机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6.3.4蔬菜清洗机</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6.4茶叶加工机械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6.4.1茶叶杀青机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6.4.2茶叶揉捻机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6.4.3茶叶炒（烘）干机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6.4.4茶叶筛选机</w:t>
      </w:r>
    </w:p>
    <w:p>
      <w:pPr>
        <w:widowControl/>
        <w:spacing w:line="560" w:lineRule="exact"/>
        <w:ind w:firstLine="1120" w:firstLineChars="35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6.4.5茶叶理条机</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6.5剥壳（去皮）机械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6.5.1玉米剥皮机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6.5.2干坚果脱壳机</w:t>
      </w:r>
    </w:p>
    <w:p>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7．农用搬运机械</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7.1装卸机械</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7.1.1抓草机</w:t>
      </w:r>
    </w:p>
    <w:p>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8．排灌机械</w:t>
      </w:r>
    </w:p>
    <w:p>
      <w:pPr>
        <w:widowControl/>
        <w:spacing w:line="560" w:lineRule="exact"/>
        <w:ind w:firstLine="1120" w:firstLineChars="35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8.1水泵</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8.1.1离心泵</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8.1.2潜水电泵</w:t>
      </w:r>
    </w:p>
    <w:p>
      <w:pPr>
        <w:widowControl/>
        <w:spacing w:line="560" w:lineRule="exact"/>
        <w:ind w:firstLine="1120" w:firstLineChars="35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8.2喷灌机械设备</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8.2.1喷灌机</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8.2.2微灌设备</w:t>
      </w:r>
    </w:p>
    <w:p>
      <w:pPr>
        <w:widowControl/>
        <w:spacing w:line="560" w:lineRule="exact"/>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8.2.3灌溉首部（含灌溉水增压设备、过滤设备、水</w:t>
      </w:r>
    </w:p>
    <w:p>
      <w:pPr>
        <w:widowControl/>
        <w:spacing w:line="560" w:lineRule="exact"/>
        <w:ind w:leftChars="-67" w:hanging="140" w:hangingChars="44"/>
        <w:rPr>
          <w:rFonts w:ascii="Times New Roman" w:hAnsi="Times New Roman" w:eastAsia="方正仿宋_GBK" w:cs="Times New Roman"/>
          <w:sz w:val="32"/>
          <w:szCs w:val="32"/>
        </w:rPr>
      </w:pPr>
      <w:r>
        <w:rPr>
          <w:rFonts w:ascii="Times New Roman" w:hAnsi="Times New Roman" w:eastAsia="方正仿宋_GBK" w:cs="Times New Roman"/>
          <w:sz w:val="32"/>
          <w:szCs w:val="32"/>
        </w:rPr>
        <w:t>质软化设备、灌溉施肥一体化设备以及营养液消毒设备等）</w:t>
      </w:r>
    </w:p>
    <w:p>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9．畜牧机械</w:t>
      </w:r>
    </w:p>
    <w:p>
      <w:pPr>
        <w:widowControl/>
        <w:spacing w:line="560" w:lineRule="exact"/>
        <w:ind w:firstLine="1280" w:firstLineChars="4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9.1饲料（草）加工机械设备</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9.1.1铡草机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9.1.2青贮切碎机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9.1.3揉丝机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9.1.4压块机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9.1.5饲料（草）粉碎机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9.1.6饲料混合机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9.1.7颗粒饲料压制机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9.1.8饲料制备（搅拌）机</w:t>
      </w:r>
    </w:p>
    <w:p>
      <w:pPr>
        <w:widowControl/>
        <w:spacing w:line="560" w:lineRule="exact"/>
        <w:ind w:firstLine="1280" w:firstLineChars="4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9.2饲养机械</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9.2.1孵化机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9.2.2喂料机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9.2.3送料机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9.2.4清粪机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9.2.5粪污固液分离机</w:t>
      </w:r>
    </w:p>
    <w:p>
      <w:pPr>
        <w:widowControl/>
        <w:spacing w:line="560" w:lineRule="exact"/>
        <w:ind w:firstLine="1280" w:firstLineChars="4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9.3畜产品采集加工机械设备</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9.3.1挤奶机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9.3.2贮奶（冷藏）罐</w:t>
      </w:r>
    </w:p>
    <w:p>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10．水产机械</w:t>
      </w:r>
    </w:p>
    <w:p>
      <w:pPr>
        <w:widowControl/>
        <w:spacing w:line="560" w:lineRule="exact"/>
        <w:ind w:firstLine="1280" w:firstLineChars="4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10.1水产养殖机械</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10.1.1增氧机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10.1.2投饲机（含投饲无人机）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10.1.3网箱养殖设备</w:t>
      </w:r>
    </w:p>
    <w:p>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11．农业废弃物利用处理设备</w:t>
      </w:r>
    </w:p>
    <w:p>
      <w:pPr>
        <w:widowControl/>
        <w:spacing w:line="560" w:lineRule="exact"/>
        <w:ind w:firstLine="1280" w:firstLineChars="4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11.1废弃物处理设备</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11.1.1残膜回收机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11.1.2沼液沼渣抽排设备</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11.1.3秸秆压块（粒、棒）机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11.1.4病死畜禽无害化处理设备</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11.1.5有机废弃物好氧发酵翻堆机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11.1.6有机废弃物干式厌氧发酵装置</w:t>
      </w:r>
    </w:p>
    <w:p>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12．农田基本建设机械</w:t>
      </w:r>
    </w:p>
    <w:p>
      <w:pPr>
        <w:widowControl/>
        <w:spacing w:line="560" w:lineRule="exact"/>
        <w:ind w:firstLine="1280" w:firstLineChars="4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12.1挖掘机械</w:t>
      </w:r>
    </w:p>
    <w:p>
      <w:pPr>
        <w:widowControl/>
        <w:spacing w:line="560" w:lineRule="exact"/>
        <w:ind w:firstLine="1280" w:firstLineChars="4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12.1.1挖坑机</w:t>
      </w:r>
    </w:p>
    <w:p>
      <w:pPr>
        <w:widowControl/>
        <w:spacing w:line="560" w:lineRule="exact"/>
        <w:ind w:firstLine="1280" w:firstLineChars="4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12.2平地机械</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12.2.1平地机</w:t>
      </w:r>
    </w:p>
    <w:p>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13．设施农业设备</w:t>
      </w:r>
    </w:p>
    <w:p>
      <w:pPr>
        <w:widowControl/>
        <w:spacing w:line="560" w:lineRule="exact"/>
        <w:ind w:firstLine="1280" w:firstLineChars="4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13.1温室大棚设备</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13.1.1电动卷帘机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13.1.2热风炉</w:t>
      </w:r>
    </w:p>
    <w:p>
      <w:pPr>
        <w:widowControl/>
        <w:spacing w:line="560" w:lineRule="exact"/>
        <w:ind w:firstLine="1280" w:firstLineChars="4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13.2食用菌生产设备</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13.2.1</w:t>
      </w:r>
      <w:r>
        <w:rPr>
          <w:rFonts w:ascii="Times New Roman" w:hAnsi="Times New Roman" w:eastAsia="方正仿宋_GBK" w:cs="Times New Roman"/>
          <w:bCs/>
          <w:sz w:val="32"/>
          <w:szCs w:val="32"/>
        </w:rPr>
        <w:t>蒸汽灭菌设备</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13.2.2食用菌料装瓶（袋）机</w:t>
      </w:r>
    </w:p>
    <w:p>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14．动力机械</w:t>
      </w:r>
    </w:p>
    <w:p>
      <w:pPr>
        <w:widowControl/>
        <w:spacing w:line="560" w:lineRule="exact"/>
        <w:ind w:firstLine="1280" w:firstLineChars="4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14.1拖拉机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14.1.1轮式拖拉机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14.1.2手扶拖拉机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14.1.3履带式拖拉机</w:t>
      </w:r>
    </w:p>
    <w:p>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15．其他机械</w:t>
      </w:r>
    </w:p>
    <w:p>
      <w:pPr>
        <w:widowControl/>
        <w:spacing w:line="560" w:lineRule="exact"/>
        <w:ind w:firstLine="1280" w:firstLineChars="400"/>
        <w:rPr>
          <w:rFonts w:ascii="Times New Roman" w:hAnsi="Times New Roman" w:eastAsia="方正楷体_GBK" w:cs="Times New Roman"/>
          <w:sz w:val="32"/>
          <w:szCs w:val="32"/>
        </w:rPr>
      </w:pPr>
      <w:r>
        <w:rPr>
          <w:rFonts w:ascii="Times New Roman" w:hAnsi="Times New Roman" w:eastAsia="方正楷体_GBK" w:cs="Times New Roman"/>
          <w:bCs/>
          <w:sz w:val="32"/>
          <w:szCs w:val="32"/>
        </w:rPr>
        <w:t>15.1养蜂设备</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15.1.1养蜂平台</w:t>
      </w:r>
    </w:p>
    <w:p>
      <w:pPr>
        <w:widowControl/>
        <w:spacing w:line="560" w:lineRule="exact"/>
        <w:ind w:firstLine="1280" w:firstLineChars="4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15.2其他机械</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15.2.1驱动耙</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15.2.2热水加温系统</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15.2.3简易保鲜储藏设备</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15.2.4旋耕播种机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15.2.5大米色选机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15.2.6甘蔗田间收集搬运机</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15.2.7秸秆膨化机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15.2.8畜禽粪便发酵处理机</w:t>
      </w:r>
    </w:p>
    <w:p>
      <w:pPr>
        <w:widowControl/>
        <w:spacing w:line="56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15.2.9农业用北斗终端及辅助驾驶系统（含渔船用）</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15.2.10沼气发电机组</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15.2.11天然橡胶初加工专用机械</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15.2.12有机肥加工设备</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15.2.13茶叶输送机</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15.2.14茶叶压扁机</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15.2.15茶叶色选机</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15.2.16根（块）茎作物收获机</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15.2.17果园作业平台</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15.2.18果园轨道运输机</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15.2.19秸秆收集机</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15.2.20脱蓬（脯）机</w:t>
      </w:r>
    </w:p>
    <w:p>
      <w:pPr>
        <w:spacing w:line="56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15.2.21水产养殖水质监控设备</w:t>
      </w: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Times New Roman" w:hAnsi="Times New Roman" w:eastAsia="方正仿宋_GBK" w:cs="Times New Roman"/>
          <w:sz w:val="32"/>
          <w:szCs w:val="32"/>
        </w:rPr>
      </w:pPr>
    </w:p>
    <w:p>
      <w:pPr>
        <w:spacing w:line="560" w:lineRule="exact"/>
        <w:ind w:firstLine="1120" w:firstLineChars="350"/>
        <w:jc w:val="left"/>
        <w:rPr>
          <w:rFonts w:ascii="方正仿宋_GBK" w:hAnsi="宋体" w:eastAsia="方正仿宋_GBK" w:cs="宋体"/>
          <w:sz w:val="32"/>
          <w:szCs w:val="32"/>
        </w:rPr>
        <w:sectPr>
          <w:footerReference r:id="rId3" w:type="default"/>
          <w:pgSz w:w="11906" w:h="16838"/>
          <w:pgMar w:top="1531" w:right="1531" w:bottom="1531" w:left="1531" w:header="851" w:footer="720" w:gutter="0"/>
          <w:pgNumType w:fmt="numberInDash"/>
          <w:cols w:space="0" w:num="1"/>
          <w:docGrid w:type="lines" w:linePitch="312" w:charSpace="0"/>
        </w:sectPr>
      </w:pPr>
    </w:p>
    <w:p>
      <w:pPr>
        <w:spacing w:line="560" w:lineRule="exact"/>
        <w:jc w:val="left"/>
        <w:rPr>
          <w:rFonts w:ascii="方正黑体_GBK" w:hAnsi="宋体" w:eastAsia="方正黑体_GBK" w:cs="宋体"/>
          <w:sz w:val="32"/>
          <w:szCs w:val="32"/>
        </w:rPr>
      </w:pPr>
      <w:r>
        <w:rPr>
          <w:rFonts w:hint="eastAsia" w:ascii="方正黑体_GBK" w:hAnsi="宋体" w:eastAsia="方正黑体_GBK" w:cs="宋体"/>
          <w:sz w:val="32"/>
          <w:szCs w:val="32"/>
        </w:rPr>
        <w:t>附件2</w:t>
      </w:r>
    </w:p>
    <w:p>
      <w:pPr>
        <w:spacing w:line="360" w:lineRule="auto"/>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202</w:t>
      </w:r>
      <w:r>
        <w:rPr>
          <w:rFonts w:hint="eastAsia" w:ascii="方正小标宋_GBK" w:hAnsi="宋体" w:eastAsia="方正小标宋_GBK" w:cs="宋体"/>
          <w:kern w:val="0"/>
          <w:sz w:val="44"/>
          <w:szCs w:val="44"/>
          <w:u w:val="single"/>
        </w:rPr>
        <w:t xml:space="preserve">    </w:t>
      </w:r>
      <w:r>
        <w:rPr>
          <w:rFonts w:hint="eastAsia" w:ascii="方正小标宋_GBK" w:hAnsi="宋体" w:eastAsia="方正小标宋_GBK" w:cs="宋体"/>
          <w:sz w:val="44"/>
          <w:szCs w:val="44"/>
        </w:rPr>
        <w:t>年麒麟区</w:t>
      </w:r>
      <w:r>
        <w:rPr>
          <w:rFonts w:hint="eastAsia" w:ascii="方正小标宋_GBK" w:hAnsi="宋体" w:eastAsia="方正小标宋_GBK" w:cs="宋体"/>
          <w:kern w:val="0"/>
          <w:sz w:val="44"/>
          <w:szCs w:val="44"/>
        </w:rPr>
        <w:t>农机购置补贴资金结算明细表</w:t>
      </w:r>
    </w:p>
    <w:p>
      <w:pPr>
        <w:rPr>
          <w:rFonts w:ascii="方正仿宋_GBK" w:hAnsi="宋体" w:eastAsia="方正仿宋_GBK" w:cs="宋体"/>
          <w:kern w:val="0"/>
          <w:sz w:val="28"/>
          <w:szCs w:val="28"/>
        </w:rPr>
      </w:pPr>
      <w:r>
        <w:rPr>
          <w:rFonts w:hint="eastAsia" w:ascii="方正仿宋_GBK" w:hAnsi="宋体" w:eastAsia="方正仿宋_GBK" w:cs="宋体"/>
          <w:kern w:val="0"/>
          <w:sz w:val="28"/>
          <w:szCs w:val="28"/>
        </w:rPr>
        <w:t xml:space="preserve">申请结算单位（盖章）：                                                  单位：元      </w:t>
      </w:r>
    </w:p>
    <w:tbl>
      <w:tblPr>
        <w:tblStyle w:val="6"/>
        <w:tblW w:w="147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35"/>
        <w:gridCol w:w="737"/>
        <w:gridCol w:w="735"/>
        <w:gridCol w:w="736"/>
        <w:gridCol w:w="735"/>
        <w:gridCol w:w="737"/>
        <w:gridCol w:w="735"/>
        <w:gridCol w:w="736"/>
        <w:gridCol w:w="736"/>
        <w:gridCol w:w="736"/>
        <w:gridCol w:w="735"/>
        <w:gridCol w:w="737"/>
        <w:gridCol w:w="735"/>
        <w:gridCol w:w="736"/>
        <w:gridCol w:w="736"/>
        <w:gridCol w:w="736"/>
        <w:gridCol w:w="735"/>
        <w:gridCol w:w="736"/>
        <w:gridCol w:w="736"/>
        <w:gridCol w:w="7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64" w:hRule="atLeast"/>
          <w:jc w:val="center"/>
        </w:trPr>
        <w:tc>
          <w:tcPr>
            <w:tcW w:w="73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姓 名</w:t>
            </w:r>
          </w:p>
        </w:tc>
        <w:tc>
          <w:tcPr>
            <w:tcW w:w="737"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县乡村</w:t>
            </w:r>
          </w:p>
        </w:tc>
        <w:tc>
          <w:tcPr>
            <w:tcW w:w="73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户口标识码</w:t>
            </w:r>
          </w:p>
        </w:tc>
        <w:tc>
          <w:tcPr>
            <w:tcW w:w="736"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身份证号码</w:t>
            </w:r>
          </w:p>
        </w:tc>
        <w:tc>
          <w:tcPr>
            <w:tcW w:w="73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指标确认书编号</w:t>
            </w:r>
          </w:p>
        </w:tc>
        <w:tc>
          <w:tcPr>
            <w:tcW w:w="737"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购机日期</w:t>
            </w:r>
          </w:p>
        </w:tc>
        <w:tc>
          <w:tcPr>
            <w:tcW w:w="73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机具品目</w:t>
            </w:r>
          </w:p>
        </w:tc>
        <w:tc>
          <w:tcPr>
            <w:tcW w:w="736"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型号</w:t>
            </w:r>
          </w:p>
        </w:tc>
        <w:tc>
          <w:tcPr>
            <w:tcW w:w="736"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出厂编号[发动机号]</w:t>
            </w:r>
          </w:p>
        </w:tc>
        <w:tc>
          <w:tcPr>
            <w:tcW w:w="736"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发票号</w:t>
            </w:r>
          </w:p>
        </w:tc>
        <w:tc>
          <w:tcPr>
            <w:tcW w:w="73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生产企业</w:t>
            </w:r>
          </w:p>
        </w:tc>
        <w:tc>
          <w:tcPr>
            <w:tcW w:w="737"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经销商</w:t>
            </w:r>
          </w:p>
        </w:tc>
        <w:tc>
          <w:tcPr>
            <w:tcW w:w="73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数量</w:t>
            </w:r>
          </w:p>
        </w:tc>
        <w:tc>
          <w:tcPr>
            <w:tcW w:w="736"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设备设施类实际数量</w:t>
            </w:r>
          </w:p>
        </w:tc>
        <w:tc>
          <w:tcPr>
            <w:tcW w:w="736"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销售价格</w:t>
            </w:r>
          </w:p>
        </w:tc>
        <w:tc>
          <w:tcPr>
            <w:tcW w:w="736"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中央金额</w:t>
            </w:r>
          </w:p>
        </w:tc>
        <w:tc>
          <w:tcPr>
            <w:tcW w:w="73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报废更新补贴额</w:t>
            </w:r>
          </w:p>
        </w:tc>
        <w:tc>
          <w:tcPr>
            <w:tcW w:w="736"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开户</w:t>
            </w:r>
          </w:p>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银行</w:t>
            </w:r>
          </w:p>
        </w:tc>
        <w:tc>
          <w:tcPr>
            <w:tcW w:w="736"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开户账号</w:t>
            </w:r>
          </w:p>
        </w:tc>
        <w:tc>
          <w:tcPr>
            <w:tcW w:w="760"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持有人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1</w:t>
            </w: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2</w:t>
            </w: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4</w:t>
            </w: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5</w:t>
            </w: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6</w:t>
            </w: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7</w:t>
            </w: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8</w:t>
            </w: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9</w:t>
            </w: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10</w:t>
            </w: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11</w:t>
            </w: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12</w:t>
            </w: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13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14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15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16</w:t>
            </w: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17</w:t>
            </w: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18</w:t>
            </w: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19</w:t>
            </w:r>
          </w:p>
        </w:tc>
        <w:tc>
          <w:tcPr>
            <w:tcW w:w="76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eastAsia="宋体" w:cs="宋体"/>
                <w:kern w:val="0"/>
                <w:szCs w:val="21"/>
              </w:rPr>
            </w:pPr>
            <w:r>
              <w:rPr>
                <w:rFonts w:hint="eastAsia" w:ascii="宋体" w:hAnsi="宋体" w:eastAsia="宋体" w:cs="宋体"/>
                <w:kern w:val="0"/>
                <w:szCs w:val="21"/>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6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6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6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6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6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6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6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kern w:val="0"/>
              </w:rPr>
            </w:pPr>
          </w:p>
        </w:tc>
        <w:tc>
          <w:tcPr>
            <w:tcW w:w="760"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eastAsia="宋体" w:cs="宋体"/>
                <w:kern w:val="0"/>
              </w:rPr>
            </w:pPr>
          </w:p>
        </w:tc>
      </w:tr>
    </w:tbl>
    <w:p>
      <w:pPr>
        <w:spacing w:beforeLines="50"/>
        <w:rPr>
          <w:rFonts w:ascii="方正仿宋_GBK" w:hAnsi="宋体" w:eastAsia="方正仿宋_GBK" w:cs="宋体"/>
          <w:sz w:val="32"/>
          <w:szCs w:val="32"/>
        </w:rPr>
        <w:sectPr>
          <w:pgSz w:w="16838" w:h="11906" w:orient="landscape"/>
          <w:pgMar w:top="1519" w:right="1440" w:bottom="1519" w:left="1440" w:header="851" w:footer="992" w:gutter="0"/>
          <w:cols w:space="0" w:num="1"/>
          <w:docGrid w:type="lines" w:linePitch="316" w:charSpace="0"/>
        </w:sectPr>
      </w:pPr>
      <w:r>
        <w:rPr>
          <w:rFonts w:hint="eastAsia" w:ascii="方正仿宋_GBK" w:hAnsi="宋体" w:eastAsia="方正仿宋_GBK" w:cs="宋体"/>
          <w:kern w:val="0"/>
          <w:sz w:val="24"/>
        </w:rPr>
        <w:t>农业农村部门主要负责人签字：</w:t>
      </w:r>
      <w:r>
        <w:rPr>
          <w:rFonts w:hint="eastAsia" w:ascii="方正仿宋_GBK" w:hAnsi="宋体" w:eastAsia="方正仿宋_GBK" w:cs="宋体"/>
          <w:kern w:val="0"/>
          <w:sz w:val="24"/>
        </w:rPr>
        <w:tab/>
      </w:r>
      <w:r>
        <w:rPr>
          <w:rFonts w:hint="eastAsia" w:ascii="方正仿宋_GBK" w:hAnsi="宋体" w:eastAsia="方正仿宋_GBK" w:cs="宋体"/>
          <w:kern w:val="0"/>
          <w:sz w:val="24"/>
        </w:rPr>
        <w:t xml:space="preserve">                                              年    月    日 （公章）</w:t>
      </w:r>
    </w:p>
    <w:p>
      <w:pPr>
        <w:spacing w:line="560" w:lineRule="exact"/>
        <w:jc w:val="left"/>
        <w:rPr>
          <w:rFonts w:ascii="方正黑体_GBK" w:hAnsi="宋体" w:eastAsia="方正黑体_GBK" w:cs="宋体"/>
          <w:sz w:val="32"/>
          <w:szCs w:val="32"/>
        </w:rPr>
      </w:pPr>
      <w:r>
        <w:rPr>
          <w:rFonts w:hint="eastAsia" w:ascii="方正黑体_GBK" w:hAnsi="宋体" w:eastAsia="方正黑体_GBK" w:cs="宋体"/>
          <w:sz w:val="32"/>
          <w:szCs w:val="32"/>
        </w:rPr>
        <w:t>附件3</w:t>
      </w:r>
    </w:p>
    <w:p>
      <w:pPr>
        <w:spacing w:line="360" w:lineRule="auto"/>
        <w:jc w:val="center"/>
        <w:rPr>
          <w:rFonts w:ascii="方正小标宋_GBK" w:hAnsi="宋体" w:eastAsia="方正小标宋_GBK" w:cs="宋体"/>
        </w:rPr>
      </w:pPr>
      <w:r>
        <w:rPr>
          <w:rFonts w:hint="eastAsia" w:ascii="方正小标宋_GBK" w:hAnsi="宋体" w:eastAsia="方正小标宋_GBK" w:cs="宋体"/>
          <w:sz w:val="44"/>
          <w:szCs w:val="44"/>
        </w:rPr>
        <w:t>202</w:t>
      </w:r>
      <w:r>
        <w:rPr>
          <w:rFonts w:hint="eastAsia" w:ascii="方正小标宋_GBK" w:hAnsi="宋体" w:eastAsia="方正小标宋_GBK" w:cs="宋体"/>
          <w:sz w:val="44"/>
          <w:szCs w:val="44"/>
          <w:u w:val="single"/>
        </w:rPr>
        <w:t xml:space="preserve">    </w:t>
      </w:r>
      <w:r>
        <w:rPr>
          <w:rFonts w:hint="eastAsia" w:ascii="方正小标宋_GBK" w:hAnsi="宋体" w:eastAsia="方正小标宋_GBK" w:cs="宋体"/>
          <w:sz w:val="44"/>
          <w:szCs w:val="44"/>
        </w:rPr>
        <w:t>年麒麟区享受农机购置补贴的购机者信息表</w:t>
      </w:r>
    </w:p>
    <w:p>
      <w:pPr>
        <w:rPr>
          <w:rFonts w:ascii="方正仿宋_GBK" w:hAnsi="宋体" w:eastAsia="方正仿宋_GBK" w:cs="宋体"/>
          <w:sz w:val="28"/>
          <w:szCs w:val="28"/>
        </w:rPr>
      </w:pPr>
      <w:r>
        <w:rPr>
          <w:rFonts w:hint="eastAsia" w:ascii="方正仿宋_GBK" w:hAnsi="宋体" w:eastAsia="方正仿宋_GBK" w:cs="宋体"/>
          <w:sz w:val="28"/>
          <w:szCs w:val="28"/>
        </w:rPr>
        <w:t xml:space="preserve">公开单位：                                                        公开时间：      年    月   日 </w:t>
      </w:r>
    </w:p>
    <w:tbl>
      <w:tblPr>
        <w:tblStyle w:val="6"/>
        <w:tblW w:w="1417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90"/>
        <w:gridCol w:w="1090"/>
        <w:gridCol w:w="1090"/>
        <w:gridCol w:w="1091"/>
        <w:gridCol w:w="1090"/>
        <w:gridCol w:w="1090"/>
        <w:gridCol w:w="1091"/>
        <w:gridCol w:w="1090"/>
        <w:gridCol w:w="1090"/>
        <w:gridCol w:w="1091"/>
        <w:gridCol w:w="1090"/>
        <w:gridCol w:w="1090"/>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1" w:hRule="atLeast"/>
        </w:trPr>
        <w:tc>
          <w:tcPr>
            <w:tcW w:w="1090" w:type="dxa"/>
            <w:tcBorders>
              <w:top w:val="single" w:color="auto" w:sz="8" w:space="0"/>
              <w:left w:val="single" w:color="auto" w:sz="8"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序号</w:t>
            </w:r>
          </w:p>
        </w:tc>
        <w:tc>
          <w:tcPr>
            <w:tcW w:w="1090" w:type="dxa"/>
            <w:tcBorders>
              <w:top w:val="single" w:color="auto" w:sz="8"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所在乡（镇）</w:t>
            </w:r>
          </w:p>
        </w:tc>
        <w:tc>
          <w:tcPr>
            <w:tcW w:w="1090" w:type="dxa"/>
            <w:tcBorders>
              <w:top w:val="single" w:color="auto" w:sz="8"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所在村组</w:t>
            </w:r>
          </w:p>
        </w:tc>
        <w:tc>
          <w:tcPr>
            <w:tcW w:w="1091" w:type="dxa"/>
            <w:tcBorders>
              <w:top w:val="single" w:color="auto" w:sz="8"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购机者</w:t>
            </w:r>
          </w:p>
          <w:p>
            <w:pPr>
              <w:jc w:val="center"/>
              <w:rPr>
                <w:rFonts w:ascii="方正仿宋_GBK" w:hAnsi="宋体" w:eastAsia="方正仿宋_GBK" w:cs="宋体"/>
                <w:sz w:val="24"/>
              </w:rPr>
            </w:pPr>
            <w:r>
              <w:rPr>
                <w:rFonts w:hint="eastAsia" w:ascii="方正仿宋_GBK" w:hAnsi="宋体" w:eastAsia="方正仿宋_GBK" w:cs="宋体"/>
                <w:sz w:val="24"/>
              </w:rPr>
              <w:t>姓名</w:t>
            </w:r>
          </w:p>
        </w:tc>
        <w:tc>
          <w:tcPr>
            <w:tcW w:w="1090" w:type="dxa"/>
            <w:tcBorders>
              <w:top w:val="single" w:color="auto" w:sz="8"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机具品目</w:t>
            </w:r>
          </w:p>
        </w:tc>
        <w:tc>
          <w:tcPr>
            <w:tcW w:w="1090" w:type="dxa"/>
            <w:tcBorders>
              <w:top w:val="single" w:color="auto" w:sz="8"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生产企业</w:t>
            </w:r>
          </w:p>
        </w:tc>
        <w:tc>
          <w:tcPr>
            <w:tcW w:w="1091" w:type="dxa"/>
            <w:tcBorders>
              <w:top w:val="single" w:color="auto" w:sz="8"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产品名称</w:t>
            </w:r>
          </w:p>
        </w:tc>
        <w:tc>
          <w:tcPr>
            <w:tcW w:w="1090" w:type="dxa"/>
            <w:tcBorders>
              <w:top w:val="single" w:color="auto" w:sz="8"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机具型号</w:t>
            </w:r>
          </w:p>
        </w:tc>
        <w:tc>
          <w:tcPr>
            <w:tcW w:w="1090" w:type="dxa"/>
            <w:tcBorders>
              <w:top w:val="single" w:color="auto" w:sz="8"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购买数量（台）</w:t>
            </w:r>
          </w:p>
        </w:tc>
        <w:tc>
          <w:tcPr>
            <w:tcW w:w="1091" w:type="dxa"/>
            <w:tcBorders>
              <w:top w:val="single" w:color="auto" w:sz="8"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经销商</w:t>
            </w:r>
          </w:p>
        </w:tc>
        <w:tc>
          <w:tcPr>
            <w:tcW w:w="1090" w:type="dxa"/>
            <w:tcBorders>
              <w:top w:val="single" w:color="auto" w:sz="8"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单台销售价格（元）</w:t>
            </w:r>
          </w:p>
        </w:tc>
        <w:tc>
          <w:tcPr>
            <w:tcW w:w="1090" w:type="dxa"/>
            <w:tcBorders>
              <w:top w:val="single" w:color="auto" w:sz="8"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sz w:val="24"/>
              </w:rPr>
            </w:pPr>
            <w:r>
              <w:rPr>
                <w:rFonts w:hint="eastAsia" w:ascii="方正仿宋_GBK" w:hAnsi="宋体" w:eastAsia="方正仿宋_GBK" w:cs="宋体"/>
                <w:sz w:val="24"/>
              </w:rPr>
              <w:t>单台补贴额（元）</w:t>
            </w:r>
          </w:p>
        </w:tc>
        <w:tc>
          <w:tcPr>
            <w:tcW w:w="1091" w:type="dxa"/>
            <w:tcBorders>
              <w:top w:val="single" w:color="auto" w:sz="8" w:space="0"/>
              <w:left w:val="single" w:color="auto" w:sz="4" w:space="0"/>
              <w:bottom w:val="single" w:color="auto" w:sz="4" w:space="0"/>
              <w:right w:val="single" w:color="auto" w:sz="8" w:space="0"/>
            </w:tcBorders>
          </w:tcPr>
          <w:p>
            <w:pPr>
              <w:jc w:val="center"/>
              <w:rPr>
                <w:rFonts w:ascii="方正仿宋_GBK" w:hAnsi="宋体" w:eastAsia="方正仿宋_GBK" w:cs="宋体"/>
                <w:sz w:val="24"/>
              </w:rPr>
            </w:pPr>
            <w:r>
              <w:rPr>
                <w:rFonts w:hint="eastAsia" w:ascii="方正仿宋_GBK" w:hAnsi="宋体" w:eastAsia="方正仿宋_GBK" w:cs="宋体"/>
                <w:sz w:val="24"/>
              </w:rPr>
              <w:t>总补贴额（元）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1090"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1090"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1090"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1090"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1090"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1090"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1090"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rPr>
            </w:pPr>
            <w:r>
              <w:rPr>
                <w:rFonts w:hint="eastAsia" w:ascii="宋体" w:hAnsi="宋体" w:eastAsia="宋体" w:cs="宋体"/>
                <w:sz w:val="24"/>
              </w:rPr>
              <w:t>合计</w:t>
            </w:r>
          </w:p>
        </w:tc>
        <w:tc>
          <w:tcPr>
            <w:tcW w:w="1090"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8" w:space="0"/>
              <w:right w:val="single" w:color="auto" w:sz="4" w:space="0"/>
            </w:tcBorders>
            <w:vAlign w:val="center"/>
          </w:tcPr>
          <w:p>
            <w:pPr>
              <w:ind w:left="1353"/>
              <w:jc w:val="center"/>
              <w:rPr>
                <w:rFonts w:ascii="宋体" w:hAnsi="宋体" w:eastAsia="宋体" w:cs="宋体"/>
              </w:rPr>
            </w:pPr>
          </w:p>
        </w:tc>
        <w:tc>
          <w:tcPr>
            <w:tcW w:w="1090"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rPr>
            </w:pPr>
          </w:p>
        </w:tc>
        <w:tc>
          <w:tcPr>
            <w:tcW w:w="1090"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rPr>
            </w:pPr>
          </w:p>
        </w:tc>
        <w:tc>
          <w:tcPr>
            <w:tcW w:w="1091"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rPr>
            </w:pPr>
          </w:p>
        </w:tc>
      </w:tr>
    </w:tbl>
    <w:p>
      <w:pPr>
        <w:spacing w:line="200" w:lineRule="exact"/>
        <w:jc w:val="left"/>
        <w:rPr>
          <w:rFonts w:ascii="宋体" w:hAnsi="宋体" w:eastAsia="宋体" w:cs="宋体"/>
          <w:sz w:val="32"/>
          <w:szCs w:val="32"/>
        </w:rPr>
      </w:pPr>
    </w:p>
    <w:sectPr>
      <w:pgSz w:w="16838" w:h="11906" w:orient="landscape"/>
      <w:pgMar w:top="1519" w:right="1440" w:bottom="1519" w:left="1440"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7069"/>
      <w:docPartObj>
        <w:docPartGallery w:val="autotext"/>
      </w:docPartObj>
    </w:sdtPr>
    <w:sdtEndPr>
      <w:rPr>
        <w:rFonts w:ascii="Times New Roman" w:hAnsi="Times New Roman" w:cs="Times New Roman"/>
        <w:sz w:val="30"/>
        <w:szCs w:val="30"/>
      </w:rPr>
    </w:sdtEndPr>
    <w:sdtContent>
      <w:p>
        <w:pPr>
          <w:pStyle w:val="3"/>
          <w:jc w:val="center"/>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1 -</w:t>
        </w:r>
        <w:r>
          <w:rPr>
            <w:rFonts w:ascii="Times New Roman" w:hAnsi="Times New Roman" w:cs="Times New Roman"/>
            <w:sz w:val="30"/>
            <w:szCs w:val="30"/>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2CD59"/>
    <w:multiLevelType w:val="singleLevel"/>
    <w:tmpl w:val="02F2CD59"/>
    <w:lvl w:ilvl="0" w:tentative="0">
      <w:start w:val="2"/>
      <w:numFmt w:val="chineseCounting"/>
      <w:suff w:val="nothing"/>
      <w:lvlText w:val="（%1）"/>
      <w:lvlJc w:val="left"/>
      <w:rPr>
        <w:rFonts w:hint="eastAsia" w:ascii="方正楷体_GBK" w:eastAsia="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BC"/>
    <w:rsid w:val="00004E6D"/>
    <w:rsid w:val="00010BB5"/>
    <w:rsid w:val="00016E14"/>
    <w:rsid w:val="000226BD"/>
    <w:rsid w:val="000302CF"/>
    <w:rsid w:val="000557C7"/>
    <w:rsid w:val="0005769F"/>
    <w:rsid w:val="000661F9"/>
    <w:rsid w:val="000673B0"/>
    <w:rsid w:val="000936CC"/>
    <w:rsid w:val="0009759F"/>
    <w:rsid w:val="000B170C"/>
    <w:rsid w:val="000B337E"/>
    <w:rsid w:val="000B7276"/>
    <w:rsid w:val="000C1553"/>
    <w:rsid w:val="000D3C96"/>
    <w:rsid w:val="000E6388"/>
    <w:rsid w:val="000E6770"/>
    <w:rsid w:val="000E7E37"/>
    <w:rsid w:val="000F6A12"/>
    <w:rsid w:val="000F6F7B"/>
    <w:rsid w:val="0010413F"/>
    <w:rsid w:val="00104ADD"/>
    <w:rsid w:val="0010769F"/>
    <w:rsid w:val="0011292B"/>
    <w:rsid w:val="0011395C"/>
    <w:rsid w:val="0011419D"/>
    <w:rsid w:val="00131EB0"/>
    <w:rsid w:val="00135D3E"/>
    <w:rsid w:val="00143112"/>
    <w:rsid w:val="00157A9D"/>
    <w:rsid w:val="00161372"/>
    <w:rsid w:val="00161437"/>
    <w:rsid w:val="00166412"/>
    <w:rsid w:val="00190961"/>
    <w:rsid w:val="001919CE"/>
    <w:rsid w:val="00194179"/>
    <w:rsid w:val="001949AA"/>
    <w:rsid w:val="00196565"/>
    <w:rsid w:val="001A04BA"/>
    <w:rsid w:val="001A2654"/>
    <w:rsid w:val="001C37A3"/>
    <w:rsid w:val="001D32B2"/>
    <w:rsid w:val="001D4FA5"/>
    <w:rsid w:val="001E0E90"/>
    <w:rsid w:val="001E627E"/>
    <w:rsid w:val="001F4A30"/>
    <w:rsid w:val="00205207"/>
    <w:rsid w:val="00217D9A"/>
    <w:rsid w:val="002239E3"/>
    <w:rsid w:val="00232F62"/>
    <w:rsid w:val="002341B4"/>
    <w:rsid w:val="00246066"/>
    <w:rsid w:val="00250843"/>
    <w:rsid w:val="002554C6"/>
    <w:rsid w:val="002625E7"/>
    <w:rsid w:val="00267FF8"/>
    <w:rsid w:val="00280ACF"/>
    <w:rsid w:val="00280D93"/>
    <w:rsid w:val="0028104C"/>
    <w:rsid w:val="00281D2F"/>
    <w:rsid w:val="00283CF5"/>
    <w:rsid w:val="00284805"/>
    <w:rsid w:val="00290E2A"/>
    <w:rsid w:val="002B3091"/>
    <w:rsid w:val="002B7A5F"/>
    <w:rsid w:val="002C0665"/>
    <w:rsid w:val="002C6B83"/>
    <w:rsid w:val="002D529C"/>
    <w:rsid w:val="002D6708"/>
    <w:rsid w:val="002E07B6"/>
    <w:rsid w:val="002E1010"/>
    <w:rsid w:val="002E2EB6"/>
    <w:rsid w:val="002E73F2"/>
    <w:rsid w:val="0031470C"/>
    <w:rsid w:val="00316603"/>
    <w:rsid w:val="00321AD6"/>
    <w:rsid w:val="0032239E"/>
    <w:rsid w:val="003253BE"/>
    <w:rsid w:val="00330AEE"/>
    <w:rsid w:val="00335E81"/>
    <w:rsid w:val="00354B2F"/>
    <w:rsid w:val="00354D9D"/>
    <w:rsid w:val="0035735B"/>
    <w:rsid w:val="00360282"/>
    <w:rsid w:val="0037139F"/>
    <w:rsid w:val="00371EB4"/>
    <w:rsid w:val="0039191A"/>
    <w:rsid w:val="00394E64"/>
    <w:rsid w:val="003A0DA2"/>
    <w:rsid w:val="003B1BDD"/>
    <w:rsid w:val="003C1090"/>
    <w:rsid w:val="003C5C5B"/>
    <w:rsid w:val="003C64DC"/>
    <w:rsid w:val="003C74C4"/>
    <w:rsid w:val="003D263B"/>
    <w:rsid w:val="003D5621"/>
    <w:rsid w:val="003D56CA"/>
    <w:rsid w:val="003F4293"/>
    <w:rsid w:val="003F642E"/>
    <w:rsid w:val="0040198C"/>
    <w:rsid w:val="00406080"/>
    <w:rsid w:val="004167C7"/>
    <w:rsid w:val="004256AE"/>
    <w:rsid w:val="00426B74"/>
    <w:rsid w:val="004307BE"/>
    <w:rsid w:val="00432893"/>
    <w:rsid w:val="004368D7"/>
    <w:rsid w:val="00440A6F"/>
    <w:rsid w:val="00441517"/>
    <w:rsid w:val="00451483"/>
    <w:rsid w:val="0045386F"/>
    <w:rsid w:val="00455057"/>
    <w:rsid w:val="004551E7"/>
    <w:rsid w:val="00467808"/>
    <w:rsid w:val="0047227F"/>
    <w:rsid w:val="00474A27"/>
    <w:rsid w:val="00474E7B"/>
    <w:rsid w:val="00481EFF"/>
    <w:rsid w:val="004A6F8B"/>
    <w:rsid w:val="004A7C2F"/>
    <w:rsid w:val="004B07D3"/>
    <w:rsid w:val="004B23DA"/>
    <w:rsid w:val="004B62CE"/>
    <w:rsid w:val="004E1BED"/>
    <w:rsid w:val="004F3674"/>
    <w:rsid w:val="004F5020"/>
    <w:rsid w:val="00517AFF"/>
    <w:rsid w:val="00527107"/>
    <w:rsid w:val="00532A41"/>
    <w:rsid w:val="00547609"/>
    <w:rsid w:val="00557375"/>
    <w:rsid w:val="00566672"/>
    <w:rsid w:val="0057727B"/>
    <w:rsid w:val="00580D79"/>
    <w:rsid w:val="005864F6"/>
    <w:rsid w:val="005A1868"/>
    <w:rsid w:val="005C06B4"/>
    <w:rsid w:val="005C1E7A"/>
    <w:rsid w:val="005C3E32"/>
    <w:rsid w:val="005C73A4"/>
    <w:rsid w:val="005D497C"/>
    <w:rsid w:val="005E3B6D"/>
    <w:rsid w:val="005E5BB3"/>
    <w:rsid w:val="005E750F"/>
    <w:rsid w:val="005E7AFF"/>
    <w:rsid w:val="005F15A4"/>
    <w:rsid w:val="005F4486"/>
    <w:rsid w:val="006151D9"/>
    <w:rsid w:val="006174DF"/>
    <w:rsid w:val="006214DA"/>
    <w:rsid w:val="006218B2"/>
    <w:rsid w:val="00624496"/>
    <w:rsid w:val="00626E48"/>
    <w:rsid w:val="00630C88"/>
    <w:rsid w:val="00630F0A"/>
    <w:rsid w:val="00634AA8"/>
    <w:rsid w:val="00637BF7"/>
    <w:rsid w:val="00650322"/>
    <w:rsid w:val="006511E5"/>
    <w:rsid w:val="00653A45"/>
    <w:rsid w:val="006569EA"/>
    <w:rsid w:val="00660CC2"/>
    <w:rsid w:val="00675936"/>
    <w:rsid w:val="006919EA"/>
    <w:rsid w:val="00697AEE"/>
    <w:rsid w:val="006A7E40"/>
    <w:rsid w:val="006B527F"/>
    <w:rsid w:val="006C3728"/>
    <w:rsid w:val="006E2E2A"/>
    <w:rsid w:val="006F1A49"/>
    <w:rsid w:val="006F3386"/>
    <w:rsid w:val="006F3B31"/>
    <w:rsid w:val="006F3F01"/>
    <w:rsid w:val="007076CE"/>
    <w:rsid w:val="007145EC"/>
    <w:rsid w:val="00717462"/>
    <w:rsid w:val="00727BED"/>
    <w:rsid w:val="00742577"/>
    <w:rsid w:val="007479E2"/>
    <w:rsid w:val="00752301"/>
    <w:rsid w:val="00756B3A"/>
    <w:rsid w:val="00756DD4"/>
    <w:rsid w:val="00764241"/>
    <w:rsid w:val="00772D76"/>
    <w:rsid w:val="007772DC"/>
    <w:rsid w:val="0079026E"/>
    <w:rsid w:val="00797465"/>
    <w:rsid w:val="007A3A40"/>
    <w:rsid w:val="007B1515"/>
    <w:rsid w:val="007B47DF"/>
    <w:rsid w:val="007B7C59"/>
    <w:rsid w:val="007C1E42"/>
    <w:rsid w:val="007C4EF4"/>
    <w:rsid w:val="007C6E69"/>
    <w:rsid w:val="007D589B"/>
    <w:rsid w:val="007D697E"/>
    <w:rsid w:val="007D6B19"/>
    <w:rsid w:val="007E3B68"/>
    <w:rsid w:val="008011C8"/>
    <w:rsid w:val="00816E1A"/>
    <w:rsid w:val="0082411A"/>
    <w:rsid w:val="0083100F"/>
    <w:rsid w:val="00834713"/>
    <w:rsid w:val="008443C0"/>
    <w:rsid w:val="008451E7"/>
    <w:rsid w:val="00845B5B"/>
    <w:rsid w:val="00845F3E"/>
    <w:rsid w:val="00864417"/>
    <w:rsid w:val="00873F72"/>
    <w:rsid w:val="00877E71"/>
    <w:rsid w:val="00884F02"/>
    <w:rsid w:val="0088508F"/>
    <w:rsid w:val="008853B7"/>
    <w:rsid w:val="00895F13"/>
    <w:rsid w:val="008A3052"/>
    <w:rsid w:val="008B1BC3"/>
    <w:rsid w:val="008B78DA"/>
    <w:rsid w:val="008C5137"/>
    <w:rsid w:val="008C55D8"/>
    <w:rsid w:val="008D5973"/>
    <w:rsid w:val="008E5FF0"/>
    <w:rsid w:val="008F02B0"/>
    <w:rsid w:val="00900ECF"/>
    <w:rsid w:val="0092116A"/>
    <w:rsid w:val="0092244B"/>
    <w:rsid w:val="00941A8A"/>
    <w:rsid w:val="00942764"/>
    <w:rsid w:val="0094604B"/>
    <w:rsid w:val="009519AF"/>
    <w:rsid w:val="00954E36"/>
    <w:rsid w:val="00960E32"/>
    <w:rsid w:val="0096550E"/>
    <w:rsid w:val="009704ED"/>
    <w:rsid w:val="009705DF"/>
    <w:rsid w:val="009738A3"/>
    <w:rsid w:val="00973F49"/>
    <w:rsid w:val="0098072D"/>
    <w:rsid w:val="00985AEE"/>
    <w:rsid w:val="009A2A4D"/>
    <w:rsid w:val="009A31F9"/>
    <w:rsid w:val="009B0FCD"/>
    <w:rsid w:val="009B1BD2"/>
    <w:rsid w:val="009B4517"/>
    <w:rsid w:val="009B5AA8"/>
    <w:rsid w:val="009B5B30"/>
    <w:rsid w:val="009C431E"/>
    <w:rsid w:val="009C5496"/>
    <w:rsid w:val="009D3B86"/>
    <w:rsid w:val="009E6F4D"/>
    <w:rsid w:val="00A06EFA"/>
    <w:rsid w:val="00A1055E"/>
    <w:rsid w:val="00A23F9B"/>
    <w:rsid w:val="00A26FE4"/>
    <w:rsid w:val="00A30478"/>
    <w:rsid w:val="00A42055"/>
    <w:rsid w:val="00A44DB5"/>
    <w:rsid w:val="00A50284"/>
    <w:rsid w:val="00A5371F"/>
    <w:rsid w:val="00A5454E"/>
    <w:rsid w:val="00A617D0"/>
    <w:rsid w:val="00A766C6"/>
    <w:rsid w:val="00A86997"/>
    <w:rsid w:val="00A86DCA"/>
    <w:rsid w:val="00AA16BC"/>
    <w:rsid w:val="00AB2DB1"/>
    <w:rsid w:val="00AC285A"/>
    <w:rsid w:val="00AD1090"/>
    <w:rsid w:val="00AD4683"/>
    <w:rsid w:val="00AE72DA"/>
    <w:rsid w:val="00AF08ED"/>
    <w:rsid w:val="00AF7814"/>
    <w:rsid w:val="00B01048"/>
    <w:rsid w:val="00B0554C"/>
    <w:rsid w:val="00B13884"/>
    <w:rsid w:val="00B177E0"/>
    <w:rsid w:val="00B225BE"/>
    <w:rsid w:val="00B33932"/>
    <w:rsid w:val="00B40B21"/>
    <w:rsid w:val="00B427B8"/>
    <w:rsid w:val="00B431F2"/>
    <w:rsid w:val="00B70258"/>
    <w:rsid w:val="00B75EA1"/>
    <w:rsid w:val="00B80128"/>
    <w:rsid w:val="00B824B8"/>
    <w:rsid w:val="00B83635"/>
    <w:rsid w:val="00B87884"/>
    <w:rsid w:val="00B920E5"/>
    <w:rsid w:val="00B95774"/>
    <w:rsid w:val="00BA0EBD"/>
    <w:rsid w:val="00BA21EF"/>
    <w:rsid w:val="00BA62FD"/>
    <w:rsid w:val="00BB421C"/>
    <w:rsid w:val="00BB710F"/>
    <w:rsid w:val="00BD3E06"/>
    <w:rsid w:val="00BE2FAF"/>
    <w:rsid w:val="00BE4762"/>
    <w:rsid w:val="00BE5A00"/>
    <w:rsid w:val="00BF1E3A"/>
    <w:rsid w:val="00BF2579"/>
    <w:rsid w:val="00C046C4"/>
    <w:rsid w:val="00C0740B"/>
    <w:rsid w:val="00C21F16"/>
    <w:rsid w:val="00C26987"/>
    <w:rsid w:val="00C32E8E"/>
    <w:rsid w:val="00C41CE2"/>
    <w:rsid w:val="00C538EF"/>
    <w:rsid w:val="00C54EC1"/>
    <w:rsid w:val="00C76736"/>
    <w:rsid w:val="00C76920"/>
    <w:rsid w:val="00C83489"/>
    <w:rsid w:val="00C901B7"/>
    <w:rsid w:val="00C90E52"/>
    <w:rsid w:val="00CB2C22"/>
    <w:rsid w:val="00CD4161"/>
    <w:rsid w:val="00CD7805"/>
    <w:rsid w:val="00CE5422"/>
    <w:rsid w:val="00CE6664"/>
    <w:rsid w:val="00CF3505"/>
    <w:rsid w:val="00D05517"/>
    <w:rsid w:val="00D12A49"/>
    <w:rsid w:val="00D22742"/>
    <w:rsid w:val="00D227E9"/>
    <w:rsid w:val="00D2354A"/>
    <w:rsid w:val="00D27C11"/>
    <w:rsid w:val="00D30C8A"/>
    <w:rsid w:val="00D40214"/>
    <w:rsid w:val="00D41F2A"/>
    <w:rsid w:val="00D4346D"/>
    <w:rsid w:val="00D50B6E"/>
    <w:rsid w:val="00D522DE"/>
    <w:rsid w:val="00D52D84"/>
    <w:rsid w:val="00D52F7C"/>
    <w:rsid w:val="00D5531A"/>
    <w:rsid w:val="00D55605"/>
    <w:rsid w:val="00D568C5"/>
    <w:rsid w:val="00D621AD"/>
    <w:rsid w:val="00D904E1"/>
    <w:rsid w:val="00D90FA5"/>
    <w:rsid w:val="00D90FE4"/>
    <w:rsid w:val="00D9656F"/>
    <w:rsid w:val="00DA1563"/>
    <w:rsid w:val="00DC7E87"/>
    <w:rsid w:val="00DD7343"/>
    <w:rsid w:val="00DE20C3"/>
    <w:rsid w:val="00DE39C3"/>
    <w:rsid w:val="00DF098C"/>
    <w:rsid w:val="00DF1859"/>
    <w:rsid w:val="00E01C06"/>
    <w:rsid w:val="00E03B41"/>
    <w:rsid w:val="00E135F5"/>
    <w:rsid w:val="00E1397C"/>
    <w:rsid w:val="00E16C0C"/>
    <w:rsid w:val="00E17A7F"/>
    <w:rsid w:val="00E21F74"/>
    <w:rsid w:val="00E25216"/>
    <w:rsid w:val="00E26305"/>
    <w:rsid w:val="00E26975"/>
    <w:rsid w:val="00E31ED7"/>
    <w:rsid w:val="00E455A3"/>
    <w:rsid w:val="00E5121A"/>
    <w:rsid w:val="00E57F09"/>
    <w:rsid w:val="00E6014E"/>
    <w:rsid w:val="00E61627"/>
    <w:rsid w:val="00E67278"/>
    <w:rsid w:val="00E77654"/>
    <w:rsid w:val="00E90CF8"/>
    <w:rsid w:val="00EA5E9D"/>
    <w:rsid w:val="00EB06E7"/>
    <w:rsid w:val="00EB1E55"/>
    <w:rsid w:val="00EB46A7"/>
    <w:rsid w:val="00EB67D8"/>
    <w:rsid w:val="00EC34E4"/>
    <w:rsid w:val="00EC3BD7"/>
    <w:rsid w:val="00EC71F9"/>
    <w:rsid w:val="00EC7E85"/>
    <w:rsid w:val="00ED5970"/>
    <w:rsid w:val="00EE158D"/>
    <w:rsid w:val="00EE54FC"/>
    <w:rsid w:val="00EF0653"/>
    <w:rsid w:val="00EF25B8"/>
    <w:rsid w:val="00F01226"/>
    <w:rsid w:val="00F02459"/>
    <w:rsid w:val="00F0435A"/>
    <w:rsid w:val="00F0733B"/>
    <w:rsid w:val="00F13126"/>
    <w:rsid w:val="00F50DD3"/>
    <w:rsid w:val="00F51667"/>
    <w:rsid w:val="00F518C2"/>
    <w:rsid w:val="00F53C9A"/>
    <w:rsid w:val="00F61269"/>
    <w:rsid w:val="00F677A6"/>
    <w:rsid w:val="00F721A6"/>
    <w:rsid w:val="00F81D6C"/>
    <w:rsid w:val="00F81FB5"/>
    <w:rsid w:val="00F97561"/>
    <w:rsid w:val="00FA0AA6"/>
    <w:rsid w:val="00FB55B1"/>
    <w:rsid w:val="00FC1C3F"/>
    <w:rsid w:val="00FC2F1C"/>
    <w:rsid w:val="00FC73C6"/>
    <w:rsid w:val="00FD751D"/>
    <w:rsid w:val="00FE0DA6"/>
    <w:rsid w:val="00FE1BF9"/>
    <w:rsid w:val="00FF4970"/>
    <w:rsid w:val="02F03BD2"/>
    <w:rsid w:val="030E689C"/>
    <w:rsid w:val="06200BA4"/>
    <w:rsid w:val="09F757A6"/>
    <w:rsid w:val="0AAA166D"/>
    <w:rsid w:val="0CAF247A"/>
    <w:rsid w:val="11A21D96"/>
    <w:rsid w:val="12AA001F"/>
    <w:rsid w:val="15B26660"/>
    <w:rsid w:val="16961F1C"/>
    <w:rsid w:val="181C003A"/>
    <w:rsid w:val="18762BE2"/>
    <w:rsid w:val="19190E37"/>
    <w:rsid w:val="19C40714"/>
    <w:rsid w:val="1DD82960"/>
    <w:rsid w:val="1E5E68B0"/>
    <w:rsid w:val="1EBF750E"/>
    <w:rsid w:val="20435C73"/>
    <w:rsid w:val="2407080C"/>
    <w:rsid w:val="26394A98"/>
    <w:rsid w:val="27E719FA"/>
    <w:rsid w:val="28B61FA0"/>
    <w:rsid w:val="29086917"/>
    <w:rsid w:val="2A313391"/>
    <w:rsid w:val="2A7536A3"/>
    <w:rsid w:val="2A9E7E37"/>
    <w:rsid w:val="2B6742A4"/>
    <w:rsid w:val="2F790165"/>
    <w:rsid w:val="2FA93D03"/>
    <w:rsid w:val="311C6F9E"/>
    <w:rsid w:val="312076DA"/>
    <w:rsid w:val="31A037BB"/>
    <w:rsid w:val="33A96C4D"/>
    <w:rsid w:val="35865FC8"/>
    <w:rsid w:val="36A52514"/>
    <w:rsid w:val="378E7BEC"/>
    <w:rsid w:val="38B76A7C"/>
    <w:rsid w:val="3A183054"/>
    <w:rsid w:val="3B7311CE"/>
    <w:rsid w:val="3BD13593"/>
    <w:rsid w:val="3E1F01A6"/>
    <w:rsid w:val="3ECF504F"/>
    <w:rsid w:val="3ED23A55"/>
    <w:rsid w:val="407A0A80"/>
    <w:rsid w:val="41B069D0"/>
    <w:rsid w:val="47EE26F4"/>
    <w:rsid w:val="4F9A0732"/>
    <w:rsid w:val="4FA47AEB"/>
    <w:rsid w:val="4FA53AB1"/>
    <w:rsid w:val="51214B82"/>
    <w:rsid w:val="5378338F"/>
    <w:rsid w:val="5502525A"/>
    <w:rsid w:val="567D27DC"/>
    <w:rsid w:val="592959C4"/>
    <w:rsid w:val="5B1C1473"/>
    <w:rsid w:val="5B59785D"/>
    <w:rsid w:val="5D92166D"/>
    <w:rsid w:val="5ED06335"/>
    <w:rsid w:val="63F41C3C"/>
    <w:rsid w:val="64844815"/>
    <w:rsid w:val="650F06BC"/>
    <w:rsid w:val="65A21A0F"/>
    <w:rsid w:val="67531F2F"/>
    <w:rsid w:val="6A130BB9"/>
    <w:rsid w:val="6B44530C"/>
    <w:rsid w:val="6D4E1415"/>
    <w:rsid w:val="6E923F8C"/>
    <w:rsid w:val="6F7B676C"/>
    <w:rsid w:val="72174A74"/>
    <w:rsid w:val="767563F0"/>
    <w:rsid w:val="76AC738C"/>
    <w:rsid w:val="79162DAA"/>
    <w:rsid w:val="7B1F4565"/>
    <w:rsid w:val="7D956151"/>
    <w:rsid w:val="7F0322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Char"/>
    <w:basedOn w:val="1"/>
    <w:qFormat/>
    <w:uiPriority w:val="0"/>
    <w:pPr>
      <w:widowControl/>
      <w:spacing w:after="160" w:line="240" w:lineRule="exact"/>
      <w:jc w:val="left"/>
    </w:pPr>
    <w:rPr>
      <w:rFonts w:ascii="Times New Roman" w:hAnsi="Times New Roman" w:eastAsia="仿宋_GB2312" w:cs="Times New Roman"/>
      <w:sz w:val="32"/>
      <w:szCs w:val="32"/>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qFormat/>
    <w:uiPriority w:val="0"/>
    <w:rPr>
      <w:kern w:val="2"/>
      <w:sz w:val="18"/>
      <w:szCs w:val="18"/>
    </w:rPr>
  </w:style>
  <w:style w:type="paragraph" w:customStyle="1" w:styleId="12">
    <w:name w:val="Char1"/>
    <w:basedOn w:val="1"/>
    <w:qFormat/>
    <w:uiPriority w:val="0"/>
    <w:pPr>
      <w:widowControl/>
      <w:spacing w:after="160" w:line="240" w:lineRule="exact"/>
      <w:jc w:val="left"/>
    </w:pPr>
    <w:rPr>
      <w:rFonts w:ascii="Times New Roman" w:hAnsi="Times New Roman" w:eastAsia="仿宋_GB2312" w:cs="Times New Roman"/>
      <w:sz w:val="32"/>
      <w:szCs w:val="32"/>
    </w:rPr>
  </w:style>
  <w:style w:type="character" w:customStyle="1" w:styleId="13">
    <w:name w:val="15"/>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AEACE-4761-4B72-89AE-3BA882042031}">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24</Pages>
  <Words>1508</Words>
  <Characters>8599</Characters>
  <Lines>71</Lines>
  <Paragraphs>20</Paragraphs>
  <TotalTime>93</TotalTime>
  <ScaleCrop>false</ScaleCrop>
  <LinksUpToDate>false</LinksUpToDate>
  <CharactersWithSpaces>10087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2021-08-04T08:29:00Z</dcterms:created>
  <dc:creator>HUAWEI</dc:creator>
  <cp:lastModifiedBy>Administrator</cp:lastModifiedBy>
  <cp:lastPrinted>2021-08-09T06:59:00Z</cp:lastPrinted>
  <dcterms:modified xsi:type="dcterms:W3CDTF">2021-08-10T08:01:01Z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11DE2423FA4047E69E92628086EC0BA7</vt:lpwstr>
  </property>
</Properties>
</file>