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eastAsia" w:eastAsia="仿宋" w:asciiTheme="minorHAnsi" w:hAnsiTheme="minorHAnsi"/>
          <w:b/>
          <w:bCs/>
          <w:kern w:val="2"/>
          <w:sz w:val="28"/>
          <w:szCs w:val="28"/>
          <w:lang w:eastAsia="zh-CN"/>
        </w:rPr>
      </w:pPr>
      <w:bookmarkStart w:id="4" w:name="_GoBack"/>
      <w:bookmarkEnd w:id="4"/>
      <w:bookmarkStart w:id="0" w:name="_Toc504659595"/>
      <w:bookmarkStart w:id="1" w:name="_Toc447125209"/>
      <w:bookmarkStart w:id="2" w:name="_Toc447125208"/>
      <w:bookmarkStart w:id="3" w:name="_Toc504659594"/>
      <w:r>
        <w:rPr>
          <w:rFonts w:hint="eastAsia" w:eastAsia="仿宋" w:asciiTheme="minorHAnsi" w:hAnsiTheme="minorHAnsi"/>
          <w:b/>
          <w:bCs/>
          <w:kern w:val="2"/>
          <w:sz w:val="28"/>
          <w:szCs w:val="28"/>
          <w:lang w:eastAsia="zh-CN"/>
        </w:rPr>
        <w:t>曲靖市麒麟区自然资源局拟对曲靖市麒麟区茨营红欣采石场采矿权进行竞争性出让所涉及的曲靖市麒麟区茨营红欣采石场</w:t>
      </w:r>
    </w:p>
    <w:p>
      <w:pPr>
        <w:pStyle w:val="3"/>
        <w:keepNext w:val="0"/>
        <w:keepLines w:val="0"/>
        <w:pageBreakBefore w:val="0"/>
        <w:widowControl/>
        <w:kinsoku/>
        <w:wordWrap/>
        <w:overflowPunct/>
        <w:topLinePunct w:val="0"/>
        <w:autoSpaceDE/>
        <w:autoSpaceDN/>
        <w:bidi w:val="0"/>
        <w:adjustRightInd/>
        <w:snapToGrid/>
        <w:spacing w:before="0" w:line="240" w:lineRule="atLeast"/>
        <w:jc w:val="center"/>
        <w:textAlignment w:val="auto"/>
        <w:rPr>
          <w:rFonts w:hint="eastAsia"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采矿权涉矿相关资产市场价值</w:t>
      </w:r>
      <w:bookmarkEnd w:id="0"/>
      <w:bookmarkEnd w:id="1"/>
    </w:p>
    <w:p>
      <w:pPr>
        <w:pStyle w:val="3"/>
        <w:keepNext w:val="0"/>
        <w:keepLines w:val="0"/>
        <w:pageBreakBefore w:val="0"/>
        <w:widowControl/>
        <w:kinsoku/>
        <w:wordWrap/>
        <w:overflowPunct/>
        <w:topLinePunct w:val="0"/>
        <w:autoSpaceDE/>
        <w:autoSpaceDN/>
        <w:bidi w:val="0"/>
        <w:adjustRightInd/>
        <w:snapToGrid/>
        <w:spacing w:before="0" w:line="240" w:lineRule="atLeast"/>
        <w:jc w:val="center"/>
        <w:textAlignment w:val="auto"/>
        <w:rPr>
          <w:rFonts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资产评估报告摘要</w:t>
      </w:r>
      <w:bookmarkEnd w:id="2"/>
      <w:bookmarkEnd w:id="3"/>
    </w:p>
    <w:p>
      <w:pPr>
        <w:adjustRightInd w:val="0"/>
        <w:snapToGrid w:val="0"/>
        <w:spacing w:after="100" w:line="240" w:lineRule="auto"/>
        <w:jc w:val="center"/>
        <w:rPr>
          <w:rFonts w:eastAsia="仿宋" w:asciiTheme="minorHAnsi" w:hAnsiTheme="minorHAnsi"/>
          <w:spacing w:val="18"/>
          <w:sz w:val="21"/>
          <w:szCs w:val="21"/>
          <w:lang w:eastAsia="zh-CN"/>
        </w:rPr>
      </w:pPr>
      <w:r>
        <w:rPr>
          <w:rFonts w:hint="eastAsia" w:eastAsia="仿宋" w:asciiTheme="minorHAnsi" w:hAnsiTheme="minorHAnsi"/>
          <w:spacing w:val="18"/>
          <w:sz w:val="21"/>
          <w:szCs w:val="21"/>
          <w:lang w:eastAsia="zh-CN"/>
        </w:rPr>
        <w:t>鹏信资估报字[</w:t>
      </w:r>
      <w:r>
        <w:rPr>
          <w:rFonts w:hint="eastAsia" w:ascii="Calibri" w:hAnsi="Calibri" w:eastAsia="仿宋"/>
          <w:spacing w:val="18"/>
          <w:sz w:val="21"/>
          <w:szCs w:val="21"/>
          <w:lang w:eastAsia="zh-CN"/>
        </w:rPr>
        <w:t>20</w:t>
      </w:r>
      <w:r>
        <w:rPr>
          <w:rFonts w:hint="eastAsia" w:ascii="Calibri" w:hAnsi="Calibri" w:eastAsia="仿宋"/>
          <w:spacing w:val="18"/>
          <w:sz w:val="21"/>
          <w:szCs w:val="21"/>
          <w:lang w:val="en-US" w:eastAsia="zh-CN"/>
        </w:rPr>
        <w:t>22</w:t>
      </w:r>
      <w:r>
        <w:rPr>
          <w:rFonts w:hint="eastAsia" w:eastAsia="仿宋" w:asciiTheme="minorHAnsi" w:hAnsiTheme="minorHAnsi"/>
          <w:spacing w:val="18"/>
          <w:sz w:val="21"/>
          <w:szCs w:val="21"/>
          <w:lang w:eastAsia="zh-CN"/>
        </w:rPr>
        <w:t>]第</w:t>
      </w:r>
      <w:r>
        <w:rPr>
          <w:rFonts w:hint="eastAsia" w:ascii="Calibri" w:hAnsi="Calibri" w:eastAsia="仿宋"/>
          <w:spacing w:val="18"/>
          <w:sz w:val="21"/>
          <w:szCs w:val="21"/>
          <w:lang w:eastAsia="zh-CN"/>
        </w:rPr>
        <w:t>YKM</w:t>
      </w:r>
      <w:r>
        <w:rPr>
          <w:rFonts w:hint="eastAsia" w:ascii="Calibri" w:hAnsi="Calibri" w:eastAsia="仿宋"/>
          <w:spacing w:val="18"/>
          <w:sz w:val="21"/>
          <w:szCs w:val="21"/>
          <w:lang w:val="en-US" w:eastAsia="zh-CN"/>
        </w:rPr>
        <w:t>029</w:t>
      </w:r>
      <w:r>
        <w:rPr>
          <w:rFonts w:hint="eastAsia" w:eastAsia="仿宋" w:asciiTheme="minorHAnsi" w:hAnsiTheme="minorHAnsi"/>
          <w:spacing w:val="18"/>
          <w:sz w:val="21"/>
          <w:szCs w:val="21"/>
          <w:lang w:eastAsia="zh-CN"/>
        </w:rPr>
        <w:t>号</w:t>
      </w:r>
    </w:p>
    <w:tbl>
      <w:tblPr>
        <w:tblStyle w:val="13"/>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，就曲靖市麒麟区自然资源局拟对曲靖市麒麟区茨营红欣采石场采矿权进行竞争性出让之经济行为所涉及的曲靖市麒麟区茨营红欣采石场采矿权涉矿相关资产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涉矿相关资产</w:t>
      </w:r>
      <w:r>
        <w:rPr>
          <w:rFonts w:hint="eastAsia" w:ascii="仿宋" w:hAnsi="仿宋" w:eastAsia="仿宋"/>
          <w:sz w:val="24"/>
          <w:lang w:eastAsia="zh-CN"/>
        </w:rPr>
        <w:t>;评估范围：曲靖市麒麟区红欣采石场持有的构筑物类建筑物、机械类设备、长期待摊费用等涉矿相关资产，详见评估明细表。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三、评估基准日：202</w:t>
      </w:r>
      <w:r>
        <w:rPr>
          <w:rFonts w:hint="eastAsia" w:ascii="Calibri" w:hAnsi="Calibri" w:eastAsia="仿宋"/>
          <w:sz w:val="24"/>
          <w:szCs w:val="24"/>
          <w:lang w:val="en-US" w:eastAsia="zh-CN"/>
        </w:rPr>
        <w:t>2</w:t>
      </w:r>
      <w:r>
        <w:rPr>
          <w:rFonts w:hint="eastAsia" w:ascii="Calibri" w:hAnsi="Calibri" w:eastAsia="仿宋"/>
          <w:sz w:val="24"/>
          <w:szCs w:val="24"/>
          <w:lang w:eastAsia="zh-CN"/>
        </w:rPr>
        <w:t>年</w:t>
      </w:r>
      <w:r>
        <w:rPr>
          <w:rFonts w:hint="eastAsia" w:ascii="Calibri" w:hAnsi="Calibri" w:eastAsia="仿宋"/>
          <w:sz w:val="24"/>
          <w:szCs w:val="24"/>
          <w:lang w:val="en-US" w:eastAsia="zh-CN"/>
        </w:rPr>
        <w:t>04</w:t>
      </w:r>
      <w:r>
        <w:rPr>
          <w:rFonts w:hint="eastAsia" w:ascii="Calibri" w:hAnsi="Calibri" w:eastAsia="仿宋"/>
          <w:sz w:val="24"/>
          <w:szCs w:val="24"/>
          <w:lang w:eastAsia="zh-CN"/>
        </w:rPr>
        <w:t>月3</w:t>
      </w:r>
      <w:r>
        <w:rPr>
          <w:rFonts w:hint="eastAsia" w:ascii="Calibri" w:hAnsi="Calibri" w:eastAsia="仿宋"/>
          <w:sz w:val="24"/>
          <w:szCs w:val="24"/>
          <w:lang w:val="en-US" w:eastAsia="zh-CN"/>
        </w:rPr>
        <w:t>0</w:t>
      </w:r>
      <w:r>
        <w:rPr>
          <w:rFonts w:hint="eastAsia" w:ascii="Calibri" w:hAnsi="Calibri" w:eastAsia="仿宋"/>
          <w:sz w:val="24"/>
          <w:szCs w:val="24"/>
          <w:lang w:eastAsia="zh-CN"/>
        </w:rPr>
        <w:t>日。</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涉矿相关资产市场价值于评估基准日的评估值为：</w:t>
      </w:r>
      <w:r>
        <w:rPr>
          <w:rFonts w:hint="eastAsia" w:ascii="Calibri" w:hAnsi="Calibri" w:eastAsia="仿宋"/>
          <w:sz w:val="24"/>
          <w:szCs w:val="24"/>
          <w:lang w:val="en-US" w:eastAsia="zh-CN"/>
        </w:rPr>
        <w:t>271.70</w:t>
      </w:r>
      <w:r>
        <w:rPr>
          <w:rFonts w:hint="eastAsia" w:ascii="Calibri" w:hAnsi="Calibri" w:eastAsia="仿宋"/>
          <w:sz w:val="24"/>
          <w:szCs w:val="24"/>
          <w:lang w:eastAsia="zh-CN"/>
        </w:rPr>
        <w:t>万元人民币(大写：人民币【</w:t>
      </w:r>
      <w:r>
        <w:rPr>
          <w:rFonts w:hint="eastAsia" w:ascii="Calibri" w:hAnsi="Calibri" w:eastAsia="仿宋"/>
          <w:sz w:val="24"/>
          <w:szCs w:val="24"/>
          <w:lang w:val="en-US" w:eastAsia="zh-CN"/>
        </w:rPr>
        <w:t>贰佰柒拾壹万柒仟</w:t>
      </w:r>
      <w:r>
        <w:rPr>
          <w:rFonts w:hint="eastAsia" w:ascii="Calibri" w:hAnsi="Calibri" w:eastAsia="仿宋"/>
          <w:sz w:val="24"/>
          <w:szCs w:val="24"/>
          <w:lang w:eastAsia="zh-CN"/>
        </w:rPr>
        <w:t>】元整)。</w:t>
      </w:r>
    </w:p>
    <w:p>
      <w:pPr>
        <w:pStyle w:val="2"/>
        <w:rPr>
          <w:rFonts w:hint="default" w:ascii="Calibri" w:hAnsi="Calibri" w:eastAsia="仿宋"/>
          <w:sz w:val="24"/>
          <w:szCs w:val="24"/>
          <w:lang w:val="en-US" w:eastAsia="zh-CN"/>
        </w:rPr>
      </w:pPr>
      <w:r>
        <w:rPr>
          <w:rFonts w:hint="eastAsia" w:ascii="Calibri" w:hAnsi="Calibri" w:eastAsia="仿宋"/>
          <w:sz w:val="24"/>
          <w:szCs w:val="24"/>
          <w:lang w:val="en-US" w:eastAsia="zh-CN"/>
        </w:rPr>
        <w:t>七、特别事项摘要：</w:t>
      </w:r>
    </w:p>
    <w:p>
      <w:pPr>
        <w:pStyle w:val="2"/>
        <w:rPr>
          <w:rFonts w:hint="default" w:ascii="仿宋" w:hAnsi="仿宋" w:eastAsia="仿宋"/>
          <w:sz w:val="24"/>
          <w:lang w:val="en-US" w:eastAsia="zh-CN"/>
        </w:rPr>
      </w:pPr>
      <w:r>
        <w:rPr>
          <w:rFonts w:hint="default" w:ascii="Calibri" w:hAnsi="Calibri" w:eastAsia="仿宋" w:cs="Calibri"/>
          <w:sz w:val="24"/>
          <w:lang w:val="en-US" w:eastAsia="zh-CN"/>
        </w:rPr>
        <w:t>2022年06月10日，曲靖市麒麟区红欣采石场与关石荣、刘洪、杜志良等1</w:t>
      </w:r>
      <w:r>
        <w:rPr>
          <w:rFonts w:hint="eastAsia" w:ascii="Calibri" w:hAnsi="Calibri" w:eastAsia="仿宋" w:cs="Calibri"/>
          <w:sz w:val="24"/>
          <w:lang w:val="en-US" w:eastAsia="zh-CN"/>
        </w:rPr>
        <w:t>5</w:t>
      </w:r>
      <w:r>
        <w:rPr>
          <w:rFonts w:hint="default" w:ascii="Calibri" w:hAnsi="Calibri" w:eastAsia="仿宋" w:cs="Calibri"/>
          <w:sz w:val="24"/>
          <w:lang w:val="en-US" w:eastAsia="zh-CN"/>
        </w:rPr>
        <w:t>个自然人签订土地租赁协议，租赁土地坐落于茨营社区居委会关旗村居民小组后山山地，用于石场开采经营使用，租赁期限为20年(自2022年06月10日至2042年06月10日止)，曲靖市麒麟区红欣采石场于2022年06月10日向关石荣、刘洪、杜志良等1</w:t>
      </w:r>
      <w:r>
        <w:rPr>
          <w:rFonts w:hint="eastAsia" w:ascii="Calibri" w:hAnsi="Calibri" w:eastAsia="仿宋" w:cs="Calibri"/>
          <w:sz w:val="24"/>
          <w:lang w:val="en-US" w:eastAsia="zh-CN"/>
        </w:rPr>
        <w:t>5</w:t>
      </w:r>
      <w:r>
        <w:rPr>
          <w:rFonts w:hint="default" w:ascii="Calibri" w:hAnsi="Calibri" w:eastAsia="仿宋" w:cs="Calibri"/>
          <w:sz w:val="24"/>
          <w:lang w:val="en-US" w:eastAsia="zh-CN"/>
        </w:rPr>
        <w:t>个自然人一次性支付十年的租地费用，合计为269,800.00元整(租赁费用详细信息见附表)。则包含上述租地费用后，曲靖市麒麟区茨营红欣采石场采矿权涉矿相关资产市场价值合计为298.68万元人民币(大写：人民币【贰佰玖拾捌万陆仟捌佰】元整)。</w:t>
      </w:r>
    </w:p>
    <w:p>
      <w:pPr>
        <w:spacing w:before="156" w:beforeLines="50" w:after="0" w:line="240" w:lineRule="auto"/>
        <w:ind w:firstLine="480" w:firstLineChars="200"/>
        <w:jc w:val="both"/>
        <w:rPr>
          <w:rFonts w:hint="eastAsia" w:eastAsia="仿宋" w:asciiTheme="minorHAnsi" w:hAnsiTheme="minorHAnsi"/>
          <w:b w:val="0"/>
          <w:bCs/>
          <w:sz w:val="24"/>
          <w:szCs w:val="24"/>
          <w:lang w:val="en-US" w:eastAsia="zh-CN"/>
        </w:rPr>
      </w:pPr>
      <w:r>
        <w:rPr>
          <w:rFonts w:hint="eastAsia" w:ascii="Calibri" w:hAnsi="Calibri" w:eastAsia="仿宋"/>
          <w:sz w:val="24"/>
          <w:szCs w:val="24"/>
          <w:lang w:eastAsia="zh-CN"/>
        </w:rPr>
        <w:t>评估结论使用有效期：通常情况下，评估结论的使用有效期自评估基准日202</w:t>
      </w:r>
      <w:r>
        <w:rPr>
          <w:rFonts w:hint="eastAsia" w:ascii="Calibri" w:hAnsi="Calibri" w:eastAsia="仿宋"/>
          <w:sz w:val="24"/>
          <w:szCs w:val="24"/>
          <w:lang w:val="en-US" w:eastAsia="zh-CN"/>
        </w:rPr>
        <w:t>2</w:t>
      </w:r>
      <w:r>
        <w:rPr>
          <w:rFonts w:hint="eastAsia" w:ascii="Calibri" w:hAnsi="Calibri" w:eastAsia="仿宋"/>
          <w:sz w:val="24"/>
          <w:szCs w:val="24"/>
          <w:lang w:eastAsia="zh-CN"/>
        </w:rPr>
        <w:t>年</w:t>
      </w:r>
      <w:r>
        <w:rPr>
          <w:rFonts w:hint="eastAsia" w:ascii="Calibri" w:hAnsi="Calibri" w:eastAsia="仿宋"/>
          <w:sz w:val="24"/>
          <w:szCs w:val="24"/>
          <w:lang w:val="en-US" w:eastAsia="zh-CN"/>
        </w:rPr>
        <w:t>04</w:t>
      </w:r>
      <w:r>
        <w:rPr>
          <w:rFonts w:hint="eastAsia" w:ascii="Calibri" w:hAnsi="Calibri" w:eastAsia="仿宋"/>
          <w:sz w:val="24"/>
          <w:szCs w:val="24"/>
          <w:lang w:eastAsia="zh-CN"/>
        </w:rPr>
        <w:t>月3</w:t>
      </w:r>
      <w:r>
        <w:rPr>
          <w:rFonts w:hint="eastAsia" w:ascii="Calibri" w:hAnsi="Calibri" w:eastAsia="仿宋"/>
          <w:sz w:val="24"/>
          <w:szCs w:val="24"/>
          <w:lang w:val="en-US" w:eastAsia="zh-CN"/>
        </w:rPr>
        <w:t>0</w:t>
      </w:r>
      <w:r>
        <w:rPr>
          <w:rFonts w:hint="eastAsia" w:ascii="Calibri" w:hAnsi="Calibri" w:eastAsia="仿宋"/>
          <w:sz w:val="24"/>
          <w:szCs w:val="24"/>
          <w:lang w:eastAsia="zh-CN"/>
        </w:rPr>
        <w:t>日至202</w:t>
      </w:r>
      <w:r>
        <w:rPr>
          <w:rFonts w:hint="eastAsia" w:ascii="Calibri" w:hAnsi="Calibri" w:eastAsia="仿宋"/>
          <w:sz w:val="24"/>
          <w:szCs w:val="24"/>
          <w:lang w:val="en-US" w:eastAsia="zh-CN"/>
        </w:rPr>
        <w:t>3</w:t>
      </w:r>
      <w:r>
        <w:rPr>
          <w:rFonts w:hint="eastAsia" w:ascii="Calibri" w:hAnsi="Calibri" w:eastAsia="仿宋"/>
          <w:sz w:val="24"/>
          <w:szCs w:val="24"/>
          <w:lang w:eastAsia="zh-CN"/>
        </w:rPr>
        <w:t>年</w:t>
      </w:r>
      <w:r>
        <w:rPr>
          <w:rFonts w:hint="eastAsia" w:ascii="Calibri" w:hAnsi="Calibri" w:eastAsia="仿宋"/>
          <w:sz w:val="24"/>
          <w:szCs w:val="24"/>
          <w:lang w:val="en-US" w:eastAsia="zh-CN"/>
        </w:rPr>
        <w:t>04</w:t>
      </w:r>
      <w:r>
        <w:rPr>
          <w:rFonts w:hint="eastAsia" w:ascii="Calibri" w:hAnsi="Calibri" w:eastAsia="仿宋"/>
          <w:sz w:val="24"/>
          <w:szCs w:val="24"/>
          <w:lang w:eastAsia="zh-CN"/>
        </w:rPr>
        <w:t>月</w:t>
      </w:r>
      <w:r>
        <w:rPr>
          <w:rFonts w:hint="eastAsia" w:ascii="Calibri" w:hAnsi="Calibri" w:eastAsia="仿宋"/>
          <w:sz w:val="24"/>
          <w:szCs w:val="24"/>
          <w:lang w:val="en-US" w:eastAsia="zh-CN"/>
        </w:rPr>
        <w:t>29</w:t>
      </w:r>
      <w:r>
        <w:rPr>
          <w:rFonts w:hint="eastAsia" w:ascii="Calibri" w:hAnsi="Calibri" w:eastAsia="仿宋"/>
          <w:sz w:val="24"/>
          <w:szCs w:val="24"/>
          <w:lang w:eastAsia="zh-CN"/>
        </w:rPr>
        <w:t>日止。</w:t>
      </w:r>
    </w:p>
    <w:p>
      <w:pPr>
        <w:widowControl w:val="0"/>
        <w:spacing w:before="156" w:beforeLines="50" w:after="0" w:line="240" w:lineRule="auto"/>
        <w:ind w:firstLine="480" w:firstLineChars="200"/>
        <w:jc w:val="both"/>
        <w:rPr>
          <w:rFonts w:eastAsia="仿宋" w:asciiTheme="minorHAnsi" w:hAnsiTheme="minorHAnsi"/>
          <w:b/>
          <w:bCs/>
          <w:smallCaps w:val="0"/>
          <w:spacing w:val="0"/>
          <w:kern w:val="2"/>
          <w:sz w:val="28"/>
          <w:szCs w:val="28"/>
          <w:lang w:eastAsia="zh-CN"/>
        </w:rPr>
      </w:pPr>
      <w:r>
        <w:rPr>
          <w:rFonts w:hint="eastAsia" w:ascii="Calibri" w:hAnsi="Calibri" w:eastAsia="仿宋"/>
          <w:sz w:val="24"/>
          <w:szCs w:val="24"/>
          <w:lang w:eastAsia="zh-CN"/>
        </w:rPr>
        <w:t>资产评估报告使用人应当充分关注资产评估报告中载明的评估假设和特别事项说明以及资产评估报告使用限制说明。</w:t>
      </w:r>
    </w:p>
    <w:sectPr>
      <w:headerReference r:id="rId3" w:type="default"/>
      <w:footerReference r:id="rId4" w:type="default"/>
      <w:pgSz w:w="11906" w:h="16838"/>
      <w:pgMar w:top="1560" w:right="1800" w:bottom="1134" w:left="1800" w:header="426"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eastAsia="华文仿宋" w:asciiTheme="minorHAnsi" w:hAnsiTheme="minorHAnsi"/>
        <w:lang w:eastAsia="zh-CN"/>
      </w:rPr>
      <w:fldChar w:fldCharType="begin"/>
    </w:r>
    <w:r>
      <w:rPr>
        <w:rFonts w:eastAsia="华文仿宋" w:asciiTheme="minorHAnsi" w:hAnsiTheme="minorHAnsi"/>
        <w:lang w:eastAsia="zh-CN"/>
      </w:rPr>
      <w:instrText xml:space="preserve"> PAGE   \* MERGEFORMAT </w:instrText>
    </w:r>
    <w:r>
      <w:rPr>
        <w:rFonts w:eastAsia="华文仿宋" w:asciiTheme="minorHAnsi" w:hAnsiTheme="minorHAnsi"/>
        <w:lang w:eastAsia="zh-CN"/>
      </w:rPr>
      <w:fldChar w:fldCharType="separate"/>
    </w:r>
    <w:r>
      <w:rPr>
        <w:rFonts w:eastAsia="华文仿宋" w:asciiTheme="minorHAnsi" w:hAnsiTheme="minorHAnsi"/>
        <w:lang w:val="zh-CN" w:eastAsia="zh-CN"/>
      </w:rPr>
      <w:t>15</w:t>
    </w:r>
    <w:r>
      <w:rPr>
        <w:rFonts w:eastAsia="华文仿宋" w:asciiTheme="minorHAnsi" w:hAnsiTheme="minorHAnsi"/>
        <w:lang w:eastAsia="zh-CN"/>
      </w:rPr>
      <w:fldChar w:fldCharType="end"/>
    </w:r>
    <w:r>
      <w:rPr>
        <w:rFonts w:hint="eastAsia" w:ascii="Calibri" w:hAnsi="Calibri" w:eastAsia="仿宋"/>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8522" w:type="dxa"/>
      <w:tblInd w:w="0" w:type="dxa"/>
      <w:tblLayout w:type="fixed"/>
      <w:tblCellMar>
        <w:top w:w="0" w:type="dxa"/>
        <w:left w:w="108" w:type="dxa"/>
        <w:bottom w:w="0" w:type="dxa"/>
        <w:right w:w="108" w:type="dxa"/>
      </w:tblCellMar>
    </w:tblPr>
    <w:tblGrid>
      <w:gridCol w:w="1096"/>
      <w:gridCol w:w="7426"/>
    </w:tblGrid>
    <w:tr>
      <w:tblPrEx>
        <w:tblLayout w:type="fixed"/>
        <w:tblCellMar>
          <w:top w:w="0" w:type="dxa"/>
          <w:left w:w="108" w:type="dxa"/>
          <w:bottom w:w="0" w:type="dxa"/>
          <w:right w:w="108" w:type="dxa"/>
        </w:tblCellMar>
      </w:tblPrEx>
      <w:tc>
        <w:tcPr>
          <w:tcW w:w="1096" w:type="dxa"/>
          <w:vMerge w:val="restart"/>
          <w:vAlign w:val="center"/>
        </w:tcPr>
        <w:p>
          <w:pPr>
            <w:pStyle w:val="9"/>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0" b="0"/>
                <wp:docPr id="6"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tcPr>
        <w:p>
          <w:pPr>
            <w:pStyle w:val="9"/>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w:t>
          </w:r>
        </w:p>
      </w:tc>
    </w:tr>
    <w:tr>
      <w:tblPrEx>
        <w:tblLayout w:type="fixed"/>
        <w:tblCellMar>
          <w:top w:w="0" w:type="dxa"/>
          <w:left w:w="108" w:type="dxa"/>
          <w:bottom w:w="0" w:type="dxa"/>
          <w:right w:w="108" w:type="dxa"/>
        </w:tblCellMar>
      </w:tblPrEx>
      <w:tc>
        <w:tcPr>
          <w:tcW w:w="1096" w:type="dxa"/>
          <w:vMerge w:val="continue"/>
        </w:tcPr>
        <w:p>
          <w:pPr>
            <w:pStyle w:val="9"/>
            <w:pBdr>
              <w:bottom w:val="none" w:color="auto" w:sz="0" w:space="0"/>
            </w:pBdr>
            <w:spacing w:after="0" w:line="0" w:lineRule="atLeast"/>
            <w:jc w:val="both"/>
            <w:rPr>
              <w:rFonts w:ascii="Calibri" w:hAnsi="Calibri" w:eastAsia="华文中宋"/>
              <w:sz w:val="15"/>
            </w:rPr>
          </w:pPr>
          <w:r>
            <w:rPr>
              <w:rFonts w:hint="eastAsia" w:ascii="Calibri" w:hAnsi="Calibri" w:eastAsia="华文中宋"/>
              <w:sz w:val="15"/>
              <w:lang w:eastAsia="zh-CN"/>
            </w:rPr>
            <w:t>资产</w:t>
          </w:r>
        </w:p>
      </w:tc>
      <w:tc>
        <w:tcPr>
          <w:tcW w:w="7426" w:type="dxa"/>
        </w:tcPr>
        <w:p>
          <w:pPr>
            <w:pStyle w:val="9"/>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曲靖市麒麟区茨营红欣采石场采矿权进行竞争性出让所涉及的</w:t>
          </w:r>
        </w:p>
      </w:tc>
    </w:tr>
    <w:tr>
      <w:tblPrEx>
        <w:tblLayout w:type="fixed"/>
        <w:tblCellMar>
          <w:top w:w="0" w:type="dxa"/>
          <w:left w:w="108" w:type="dxa"/>
          <w:bottom w:w="0" w:type="dxa"/>
          <w:right w:w="108" w:type="dxa"/>
        </w:tblCellMar>
      </w:tblPrEx>
      <w:tc>
        <w:tcPr>
          <w:tcW w:w="1096" w:type="dxa"/>
          <w:vMerge w:val="continue"/>
        </w:tcPr>
        <w:p>
          <w:pPr>
            <w:pStyle w:val="9"/>
            <w:pBdr>
              <w:bottom w:val="none" w:color="auto" w:sz="0" w:space="0"/>
            </w:pBdr>
            <w:spacing w:after="0" w:line="0" w:lineRule="atLeast"/>
            <w:jc w:val="both"/>
            <w:rPr>
              <w:rFonts w:ascii="Calibri" w:hAnsi="Calibri" w:eastAsia="华文中宋"/>
              <w:sz w:val="15"/>
              <w:lang w:eastAsia="zh-CN"/>
            </w:rPr>
          </w:pPr>
        </w:p>
      </w:tc>
      <w:tc>
        <w:tcPr>
          <w:tcW w:w="7426" w:type="dxa"/>
        </w:tcPr>
        <w:p>
          <w:pPr>
            <w:pStyle w:val="9"/>
            <w:pBdr>
              <w:bottom w:val="none" w:color="auto" w:sz="0" w:space="0"/>
            </w:pBdr>
            <w:spacing w:after="0" w:line="0" w:lineRule="atLeast"/>
            <w:jc w:val="right"/>
            <w:rPr>
              <w:rFonts w:hint="default" w:ascii="Calibri" w:hAnsi="Calibri" w:eastAsia="仿宋"/>
              <w:lang w:val="en-US" w:eastAsia="zh-CN"/>
            </w:rPr>
          </w:pPr>
          <w:r>
            <w:rPr>
              <w:rFonts w:hint="eastAsia" w:ascii="仿宋" w:hAnsi="仿宋" w:eastAsia="仿宋"/>
              <w:lang w:eastAsia="zh-CN"/>
            </w:rPr>
            <w:t>曲靖市麒麟区茨营红欣采石场采矿权涉矿相关资产市场价值资产</w:t>
          </w:r>
          <w:r>
            <w:rPr>
              <w:rFonts w:hint="eastAsia" w:ascii="Calibri" w:hAnsi="Calibri" w:eastAsia="仿宋"/>
              <w:lang w:eastAsia="zh-CN"/>
            </w:rPr>
            <w:t>评估报告·</w:t>
          </w:r>
          <w:r>
            <w:rPr>
              <w:rFonts w:hint="eastAsia" w:ascii="Calibri" w:hAnsi="Calibri" w:eastAsia="仿宋"/>
              <w:lang w:val="en-US" w:eastAsia="zh-CN"/>
            </w:rPr>
            <w:t>摘要</w:t>
          </w:r>
        </w:p>
      </w:tc>
    </w:tr>
  </w:tbl>
  <w:p>
    <w:pPr>
      <w:pStyle w:val="9"/>
      <w:spacing w:after="0" w:line="0" w:lineRule="atLeast"/>
      <w:jc w:val="both"/>
      <w:rPr>
        <w:sz w:val="10"/>
        <w:szCs w:val="1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OTk2YTZjOGQyZjA4YTcyMzVkMGNjNjc4NGMxMTQifQ=="/>
  </w:docVars>
  <w:rsids>
    <w:rsidRoot w:val="009244E4"/>
    <w:rsid w:val="0000314D"/>
    <w:rsid w:val="00007468"/>
    <w:rsid w:val="00010FD1"/>
    <w:rsid w:val="00026087"/>
    <w:rsid w:val="00031E73"/>
    <w:rsid w:val="0004037A"/>
    <w:rsid w:val="000465EB"/>
    <w:rsid w:val="0005119C"/>
    <w:rsid w:val="000529CB"/>
    <w:rsid w:val="000629FB"/>
    <w:rsid w:val="00077AAF"/>
    <w:rsid w:val="000825B8"/>
    <w:rsid w:val="000848ED"/>
    <w:rsid w:val="0009168C"/>
    <w:rsid w:val="00093CF5"/>
    <w:rsid w:val="000A1614"/>
    <w:rsid w:val="000A2C34"/>
    <w:rsid w:val="000A3948"/>
    <w:rsid w:val="000A658E"/>
    <w:rsid w:val="000A7E65"/>
    <w:rsid w:val="000B53D7"/>
    <w:rsid w:val="000C1838"/>
    <w:rsid w:val="000C494D"/>
    <w:rsid w:val="000D3104"/>
    <w:rsid w:val="000D45B2"/>
    <w:rsid w:val="000D6779"/>
    <w:rsid w:val="000E07BB"/>
    <w:rsid w:val="000E6DFD"/>
    <w:rsid w:val="000E7DA7"/>
    <w:rsid w:val="000F01E1"/>
    <w:rsid w:val="000F01E7"/>
    <w:rsid w:val="000F6841"/>
    <w:rsid w:val="001021DA"/>
    <w:rsid w:val="00102672"/>
    <w:rsid w:val="00105A64"/>
    <w:rsid w:val="00107C91"/>
    <w:rsid w:val="001102E7"/>
    <w:rsid w:val="00112CE2"/>
    <w:rsid w:val="001239DC"/>
    <w:rsid w:val="00124EE0"/>
    <w:rsid w:val="0013287B"/>
    <w:rsid w:val="00134939"/>
    <w:rsid w:val="00154783"/>
    <w:rsid w:val="00164EA2"/>
    <w:rsid w:val="00167EC1"/>
    <w:rsid w:val="00170DDC"/>
    <w:rsid w:val="00174223"/>
    <w:rsid w:val="00182B6B"/>
    <w:rsid w:val="00184C8C"/>
    <w:rsid w:val="00185107"/>
    <w:rsid w:val="001A54B0"/>
    <w:rsid w:val="001A5728"/>
    <w:rsid w:val="001A7FC0"/>
    <w:rsid w:val="001B5304"/>
    <w:rsid w:val="001B733E"/>
    <w:rsid w:val="001C0DBE"/>
    <w:rsid w:val="001C42C3"/>
    <w:rsid w:val="001D0B66"/>
    <w:rsid w:val="001D2C5D"/>
    <w:rsid w:val="001D3312"/>
    <w:rsid w:val="001E0FA6"/>
    <w:rsid w:val="001E19B2"/>
    <w:rsid w:val="001F2E82"/>
    <w:rsid w:val="001F31F7"/>
    <w:rsid w:val="001F7390"/>
    <w:rsid w:val="00201231"/>
    <w:rsid w:val="00204505"/>
    <w:rsid w:val="00207566"/>
    <w:rsid w:val="00226022"/>
    <w:rsid w:val="0023640E"/>
    <w:rsid w:val="0023765D"/>
    <w:rsid w:val="00242F20"/>
    <w:rsid w:val="002438B6"/>
    <w:rsid w:val="002535AE"/>
    <w:rsid w:val="002560FF"/>
    <w:rsid w:val="00263CA8"/>
    <w:rsid w:val="00270F8B"/>
    <w:rsid w:val="00277CBA"/>
    <w:rsid w:val="002802D2"/>
    <w:rsid w:val="002871B4"/>
    <w:rsid w:val="00290EF4"/>
    <w:rsid w:val="0029638B"/>
    <w:rsid w:val="002A130A"/>
    <w:rsid w:val="002A5B23"/>
    <w:rsid w:val="002B1711"/>
    <w:rsid w:val="002C55A1"/>
    <w:rsid w:val="002D34F0"/>
    <w:rsid w:val="002D5FFD"/>
    <w:rsid w:val="002D767D"/>
    <w:rsid w:val="002E37F4"/>
    <w:rsid w:val="002F448B"/>
    <w:rsid w:val="003130C1"/>
    <w:rsid w:val="00331AA3"/>
    <w:rsid w:val="0033347B"/>
    <w:rsid w:val="00333569"/>
    <w:rsid w:val="0033419F"/>
    <w:rsid w:val="00337983"/>
    <w:rsid w:val="0034756A"/>
    <w:rsid w:val="00356ED8"/>
    <w:rsid w:val="0036309E"/>
    <w:rsid w:val="00374C4C"/>
    <w:rsid w:val="00377E7F"/>
    <w:rsid w:val="003811AA"/>
    <w:rsid w:val="00387FC5"/>
    <w:rsid w:val="00393BBB"/>
    <w:rsid w:val="00394037"/>
    <w:rsid w:val="003A4B84"/>
    <w:rsid w:val="003A78BC"/>
    <w:rsid w:val="003B5F9A"/>
    <w:rsid w:val="003B7B01"/>
    <w:rsid w:val="003C5FD3"/>
    <w:rsid w:val="003C6740"/>
    <w:rsid w:val="003D660E"/>
    <w:rsid w:val="003D68FA"/>
    <w:rsid w:val="003E2214"/>
    <w:rsid w:val="003E264C"/>
    <w:rsid w:val="003E760C"/>
    <w:rsid w:val="003F28BC"/>
    <w:rsid w:val="003F6B46"/>
    <w:rsid w:val="00401016"/>
    <w:rsid w:val="00412627"/>
    <w:rsid w:val="00417066"/>
    <w:rsid w:val="00417E9A"/>
    <w:rsid w:val="004253AA"/>
    <w:rsid w:val="0043059C"/>
    <w:rsid w:val="004340B6"/>
    <w:rsid w:val="004364EE"/>
    <w:rsid w:val="00437740"/>
    <w:rsid w:val="004379E4"/>
    <w:rsid w:val="00440F08"/>
    <w:rsid w:val="00450135"/>
    <w:rsid w:val="0045297D"/>
    <w:rsid w:val="00457338"/>
    <w:rsid w:val="0046290A"/>
    <w:rsid w:val="00480E35"/>
    <w:rsid w:val="004A270F"/>
    <w:rsid w:val="004A643C"/>
    <w:rsid w:val="004B0F52"/>
    <w:rsid w:val="004B3104"/>
    <w:rsid w:val="004C2A55"/>
    <w:rsid w:val="004C46FA"/>
    <w:rsid w:val="004D067F"/>
    <w:rsid w:val="004D17F3"/>
    <w:rsid w:val="004D684B"/>
    <w:rsid w:val="004E0343"/>
    <w:rsid w:val="004E6E10"/>
    <w:rsid w:val="004F696C"/>
    <w:rsid w:val="00502ACB"/>
    <w:rsid w:val="00504696"/>
    <w:rsid w:val="00507266"/>
    <w:rsid w:val="005072F5"/>
    <w:rsid w:val="005138BD"/>
    <w:rsid w:val="0051478C"/>
    <w:rsid w:val="00525486"/>
    <w:rsid w:val="00525D55"/>
    <w:rsid w:val="005277B0"/>
    <w:rsid w:val="00530273"/>
    <w:rsid w:val="00531C9F"/>
    <w:rsid w:val="00532E18"/>
    <w:rsid w:val="00537449"/>
    <w:rsid w:val="00542B17"/>
    <w:rsid w:val="005438CF"/>
    <w:rsid w:val="00543B22"/>
    <w:rsid w:val="00543DB0"/>
    <w:rsid w:val="00545151"/>
    <w:rsid w:val="005522DB"/>
    <w:rsid w:val="005643D9"/>
    <w:rsid w:val="00566C5C"/>
    <w:rsid w:val="005748BB"/>
    <w:rsid w:val="005836A2"/>
    <w:rsid w:val="00585A06"/>
    <w:rsid w:val="00590B33"/>
    <w:rsid w:val="005A76E6"/>
    <w:rsid w:val="005A78F1"/>
    <w:rsid w:val="005A7EA4"/>
    <w:rsid w:val="005B5720"/>
    <w:rsid w:val="005B6362"/>
    <w:rsid w:val="005B6CFD"/>
    <w:rsid w:val="005C040C"/>
    <w:rsid w:val="005D06E3"/>
    <w:rsid w:val="005E3E44"/>
    <w:rsid w:val="00601947"/>
    <w:rsid w:val="00602C6E"/>
    <w:rsid w:val="0060421B"/>
    <w:rsid w:val="00607500"/>
    <w:rsid w:val="00616ECF"/>
    <w:rsid w:val="00622F90"/>
    <w:rsid w:val="0062455E"/>
    <w:rsid w:val="00624FC4"/>
    <w:rsid w:val="00625B46"/>
    <w:rsid w:val="00627C67"/>
    <w:rsid w:val="006340EB"/>
    <w:rsid w:val="00643A32"/>
    <w:rsid w:val="00650B9D"/>
    <w:rsid w:val="00651264"/>
    <w:rsid w:val="00654A76"/>
    <w:rsid w:val="006565E8"/>
    <w:rsid w:val="006605BA"/>
    <w:rsid w:val="00666E05"/>
    <w:rsid w:val="00675289"/>
    <w:rsid w:val="00675BFD"/>
    <w:rsid w:val="006848BF"/>
    <w:rsid w:val="006859D0"/>
    <w:rsid w:val="0068613C"/>
    <w:rsid w:val="006911B6"/>
    <w:rsid w:val="0069400C"/>
    <w:rsid w:val="006A1ED6"/>
    <w:rsid w:val="006A52A0"/>
    <w:rsid w:val="006B4B86"/>
    <w:rsid w:val="006C2B86"/>
    <w:rsid w:val="006D2EC5"/>
    <w:rsid w:val="006E0415"/>
    <w:rsid w:val="006F4983"/>
    <w:rsid w:val="0071274B"/>
    <w:rsid w:val="007153AD"/>
    <w:rsid w:val="00720224"/>
    <w:rsid w:val="00732A70"/>
    <w:rsid w:val="0074030C"/>
    <w:rsid w:val="007438CC"/>
    <w:rsid w:val="007515F8"/>
    <w:rsid w:val="007532A7"/>
    <w:rsid w:val="00754559"/>
    <w:rsid w:val="007566E8"/>
    <w:rsid w:val="007634AA"/>
    <w:rsid w:val="007635A7"/>
    <w:rsid w:val="007651AA"/>
    <w:rsid w:val="007708A6"/>
    <w:rsid w:val="007776F7"/>
    <w:rsid w:val="007810F4"/>
    <w:rsid w:val="00783343"/>
    <w:rsid w:val="00784EF3"/>
    <w:rsid w:val="00794379"/>
    <w:rsid w:val="00795EB5"/>
    <w:rsid w:val="00795EC9"/>
    <w:rsid w:val="007A0886"/>
    <w:rsid w:val="007A0D97"/>
    <w:rsid w:val="007A28BB"/>
    <w:rsid w:val="007A4C8E"/>
    <w:rsid w:val="007A57F9"/>
    <w:rsid w:val="007B0B4D"/>
    <w:rsid w:val="007B5888"/>
    <w:rsid w:val="007B5BC4"/>
    <w:rsid w:val="007B5EEE"/>
    <w:rsid w:val="007B6309"/>
    <w:rsid w:val="007C0E55"/>
    <w:rsid w:val="007C4CB5"/>
    <w:rsid w:val="007C6239"/>
    <w:rsid w:val="007D4171"/>
    <w:rsid w:val="007D7A29"/>
    <w:rsid w:val="007E43E8"/>
    <w:rsid w:val="007E4E40"/>
    <w:rsid w:val="007E54EA"/>
    <w:rsid w:val="007F20DD"/>
    <w:rsid w:val="0080629E"/>
    <w:rsid w:val="00807D0A"/>
    <w:rsid w:val="0081318C"/>
    <w:rsid w:val="0084012B"/>
    <w:rsid w:val="008419F0"/>
    <w:rsid w:val="00842862"/>
    <w:rsid w:val="008462ED"/>
    <w:rsid w:val="0085252D"/>
    <w:rsid w:val="0085429A"/>
    <w:rsid w:val="00863AE2"/>
    <w:rsid w:val="00866A2D"/>
    <w:rsid w:val="00872D0A"/>
    <w:rsid w:val="00876D43"/>
    <w:rsid w:val="008822A6"/>
    <w:rsid w:val="00886177"/>
    <w:rsid w:val="00890BFC"/>
    <w:rsid w:val="0089119E"/>
    <w:rsid w:val="008A004A"/>
    <w:rsid w:val="008A0D43"/>
    <w:rsid w:val="008A25B2"/>
    <w:rsid w:val="008A2C31"/>
    <w:rsid w:val="008A504B"/>
    <w:rsid w:val="008B0EB8"/>
    <w:rsid w:val="008B339C"/>
    <w:rsid w:val="008C335E"/>
    <w:rsid w:val="008C7BB4"/>
    <w:rsid w:val="008D0E98"/>
    <w:rsid w:val="008D3732"/>
    <w:rsid w:val="008D4291"/>
    <w:rsid w:val="008D7093"/>
    <w:rsid w:val="008E0B69"/>
    <w:rsid w:val="008E47B2"/>
    <w:rsid w:val="008E6274"/>
    <w:rsid w:val="008F2F51"/>
    <w:rsid w:val="008F4593"/>
    <w:rsid w:val="008F4912"/>
    <w:rsid w:val="008F4A73"/>
    <w:rsid w:val="00900D2D"/>
    <w:rsid w:val="0090170A"/>
    <w:rsid w:val="00905727"/>
    <w:rsid w:val="009108ED"/>
    <w:rsid w:val="009138AA"/>
    <w:rsid w:val="0092361A"/>
    <w:rsid w:val="009244E4"/>
    <w:rsid w:val="00931768"/>
    <w:rsid w:val="00933B77"/>
    <w:rsid w:val="00942ED7"/>
    <w:rsid w:val="00946D14"/>
    <w:rsid w:val="009511CE"/>
    <w:rsid w:val="00953443"/>
    <w:rsid w:val="0095506D"/>
    <w:rsid w:val="0095660E"/>
    <w:rsid w:val="009668FD"/>
    <w:rsid w:val="009712C1"/>
    <w:rsid w:val="00976FD3"/>
    <w:rsid w:val="00983D7C"/>
    <w:rsid w:val="009A0202"/>
    <w:rsid w:val="009B6138"/>
    <w:rsid w:val="009B6752"/>
    <w:rsid w:val="009C004D"/>
    <w:rsid w:val="009C4973"/>
    <w:rsid w:val="009C5386"/>
    <w:rsid w:val="009C5BDE"/>
    <w:rsid w:val="009D0936"/>
    <w:rsid w:val="009E0FAE"/>
    <w:rsid w:val="009E1518"/>
    <w:rsid w:val="009E3009"/>
    <w:rsid w:val="009E4DE8"/>
    <w:rsid w:val="009E755C"/>
    <w:rsid w:val="009F12A6"/>
    <w:rsid w:val="00A03A1F"/>
    <w:rsid w:val="00A0623F"/>
    <w:rsid w:val="00A068AF"/>
    <w:rsid w:val="00A45F7D"/>
    <w:rsid w:val="00A53D51"/>
    <w:rsid w:val="00A558FA"/>
    <w:rsid w:val="00A6093E"/>
    <w:rsid w:val="00A61146"/>
    <w:rsid w:val="00A719F1"/>
    <w:rsid w:val="00A746FB"/>
    <w:rsid w:val="00A7565A"/>
    <w:rsid w:val="00A765A3"/>
    <w:rsid w:val="00A82A0B"/>
    <w:rsid w:val="00A84FA1"/>
    <w:rsid w:val="00A902AA"/>
    <w:rsid w:val="00A91227"/>
    <w:rsid w:val="00A96C39"/>
    <w:rsid w:val="00A975D2"/>
    <w:rsid w:val="00AA3476"/>
    <w:rsid w:val="00AA3EB4"/>
    <w:rsid w:val="00AA63F6"/>
    <w:rsid w:val="00AB1589"/>
    <w:rsid w:val="00AC17DE"/>
    <w:rsid w:val="00AC31D2"/>
    <w:rsid w:val="00AC7132"/>
    <w:rsid w:val="00AD0749"/>
    <w:rsid w:val="00AD3C7C"/>
    <w:rsid w:val="00AE1AA5"/>
    <w:rsid w:val="00AE6A11"/>
    <w:rsid w:val="00AE7984"/>
    <w:rsid w:val="00AF51C1"/>
    <w:rsid w:val="00AF57AB"/>
    <w:rsid w:val="00B01F68"/>
    <w:rsid w:val="00B06CCD"/>
    <w:rsid w:val="00B27209"/>
    <w:rsid w:val="00B27994"/>
    <w:rsid w:val="00B3107D"/>
    <w:rsid w:val="00B31F1D"/>
    <w:rsid w:val="00B34009"/>
    <w:rsid w:val="00B348B7"/>
    <w:rsid w:val="00B367C3"/>
    <w:rsid w:val="00B6154B"/>
    <w:rsid w:val="00B8110C"/>
    <w:rsid w:val="00B97623"/>
    <w:rsid w:val="00BA1313"/>
    <w:rsid w:val="00BB107E"/>
    <w:rsid w:val="00BB15BD"/>
    <w:rsid w:val="00BC12E5"/>
    <w:rsid w:val="00BC24A0"/>
    <w:rsid w:val="00BC4DCD"/>
    <w:rsid w:val="00BF0076"/>
    <w:rsid w:val="00BF1D5C"/>
    <w:rsid w:val="00BF3818"/>
    <w:rsid w:val="00C00A4D"/>
    <w:rsid w:val="00C01446"/>
    <w:rsid w:val="00C03E35"/>
    <w:rsid w:val="00C04503"/>
    <w:rsid w:val="00C104AA"/>
    <w:rsid w:val="00C14A33"/>
    <w:rsid w:val="00C21407"/>
    <w:rsid w:val="00C25101"/>
    <w:rsid w:val="00C35357"/>
    <w:rsid w:val="00C37512"/>
    <w:rsid w:val="00C40749"/>
    <w:rsid w:val="00C456BF"/>
    <w:rsid w:val="00C47027"/>
    <w:rsid w:val="00C52D30"/>
    <w:rsid w:val="00C53837"/>
    <w:rsid w:val="00C66E1A"/>
    <w:rsid w:val="00C92F75"/>
    <w:rsid w:val="00C96AE4"/>
    <w:rsid w:val="00CA0AC0"/>
    <w:rsid w:val="00CA2C9C"/>
    <w:rsid w:val="00CA4071"/>
    <w:rsid w:val="00CA5854"/>
    <w:rsid w:val="00CA7F8C"/>
    <w:rsid w:val="00CB02E5"/>
    <w:rsid w:val="00CC2FA6"/>
    <w:rsid w:val="00CD0CF6"/>
    <w:rsid w:val="00CD1114"/>
    <w:rsid w:val="00CD74D7"/>
    <w:rsid w:val="00CE52C0"/>
    <w:rsid w:val="00CF2181"/>
    <w:rsid w:val="00CF5A9B"/>
    <w:rsid w:val="00CF7C2E"/>
    <w:rsid w:val="00D041E0"/>
    <w:rsid w:val="00D054B6"/>
    <w:rsid w:val="00D1231E"/>
    <w:rsid w:val="00D12FE3"/>
    <w:rsid w:val="00D162FB"/>
    <w:rsid w:val="00D3164D"/>
    <w:rsid w:val="00D33CD6"/>
    <w:rsid w:val="00D37910"/>
    <w:rsid w:val="00D43D4D"/>
    <w:rsid w:val="00D46AE2"/>
    <w:rsid w:val="00D472F3"/>
    <w:rsid w:val="00D6047C"/>
    <w:rsid w:val="00D62A5F"/>
    <w:rsid w:val="00D65873"/>
    <w:rsid w:val="00D715ED"/>
    <w:rsid w:val="00D75568"/>
    <w:rsid w:val="00D75F6C"/>
    <w:rsid w:val="00D76C73"/>
    <w:rsid w:val="00D82CD8"/>
    <w:rsid w:val="00D84B7E"/>
    <w:rsid w:val="00D85307"/>
    <w:rsid w:val="00D94F1B"/>
    <w:rsid w:val="00DA3EDD"/>
    <w:rsid w:val="00DB1416"/>
    <w:rsid w:val="00DB2D9C"/>
    <w:rsid w:val="00DB305D"/>
    <w:rsid w:val="00DB369B"/>
    <w:rsid w:val="00DC27E6"/>
    <w:rsid w:val="00DD6194"/>
    <w:rsid w:val="00DD6C3D"/>
    <w:rsid w:val="00DE1D56"/>
    <w:rsid w:val="00DF0C61"/>
    <w:rsid w:val="00DF0DD8"/>
    <w:rsid w:val="00DF612C"/>
    <w:rsid w:val="00E00217"/>
    <w:rsid w:val="00E00DFE"/>
    <w:rsid w:val="00E11FEE"/>
    <w:rsid w:val="00E14DA3"/>
    <w:rsid w:val="00E263A3"/>
    <w:rsid w:val="00E30006"/>
    <w:rsid w:val="00E33660"/>
    <w:rsid w:val="00E33DE7"/>
    <w:rsid w:val="00E41649"/>
    <w:rsid w:val="00E51E92"/>
    <w:rsid w:val="00E57DD6"/>
    <w:rsid w:val="00E61202"/>
    <w:rsid w:val="00E63062"/>
    <w:rsid w:val="00E66AF1"/>
    <w:rsid w:val="00E70276"/>
    <w:rsid w:val="00E70888"/>
    <w:rsid w:val="00E74318"/>
    <w:rsid w:val="00E75492"/>
    <w:rsid w:val="00E76C7B"/>
    <w:rsid w:val="00E8506C"/>
    <w:rsid w:val="00EA5F4F"/>
    <w:rsid w:val="00EA6A23"/>
    <w:rsid w:val="00EC0985"/>
    <w:rsid w:val="00EC2664"/>
    <w:rsid w:val="00EC30F7"/>
    <w:rsid w:val="00EC4721"/>
    <w:rsid w:val="00EC7E6C"/>
    <w:rsid w:val="00ED1831"/>
    <w:rsid w:val="00ED40A2"/>
    <w:rsid w:val="00ED65B9"/>
    <w:rsid w:val="00EE12C2"/>
    <w:rsid w:val="00EF0EED"/>
    <w:rsid w:val="00EF5DC1"/>
    <w:rsid w:val="00F025A3"/>
    <w:rsid w:val="00F07001"/>
    <w:rsid w:val="00F07FD1"/>
    <w:rsid w:val="00F12C89"/>
    <w:rsid w:val="00F13ABC"/>
    <w:rsid w:val="00F16B2E"/>
    <w:rsid w:val="00F179E0"/>
    <w:rsid w:val="00F21BAC"/>
    <w:rsid w:val="00F2616C"/>
    <w:rsid w:val="00F276C5"/>
    <w:rsid w:val="00F30165"/>
    <w:rsid w:val="00F301FD"/>
    <w:rsid w:val="00F4062B"/>
    <w:rsid w:val="00F50147"/>
    <w:rsid w:val="00F76A13"/>
    <w:rsid w:val="00F80A93"/>
    <w:rsid w:val="00F87638"/>
    <w:rsid w:val="00F878F2"/>
    <w:rsid w:val="00F934F0"/>
    <w:rsid w:val="00FA6459"/>
    <w:rsid w:val="00FB1597"/>
    <w:rsid w:val="00FB3747"/>
    <w:rsid w:val="00FB3840"/>
    <w:rsid w:val="00FB6891"/>
    <w:rsid w:val="00FC3AA3"/>
    <w:rsid w:val="00FD354E"/>
    <w:rsid w:val="00FD4E9A"/>
    <w:rsid w:val="00FD5242"/>
    <w:rsid w:val="00FD540F"/>
    <w:rsid w:val="00FD556B"/>
    <w:rsid w:val="00FE12AC"/>
    <w:rsid w:val="00FE78EC"/>
    <w:rsid w:val="00FF0A3D"/>
    <w:rsid w:val="01283E68"/>
    <w:rsid w:val="022F19AB"/>
    <w:rsid w:val="027938B5"/>
    <w:rsid w:val="029255A7"/>
    <w:rsid w:val="029E03B0"/>
    <w:rsid w:val="03BC7BC3"/>
    <w:rsid w:val="03C93279"/>
    <w:rsid w:val="03D650AC"/>
    <w:rsid w:val="041A08E2"/>
    <w:rsid w:val="042F0CD6"/>
    <w:rsid w:val="04E40839"/>
    <w:rsid w:val="050B2A21"/>
    <w:rsid w:val="05100812"/>
    <w:rsid w:val="052817E4"/>
    <w:rsid w:val="052C0810"/>
    <w:rsid w:val="05650176"/>
    <w:rsid w:val="058E3133"/>
    <w:rsid w:val="0648266F"/>
    <w:rsid w:val="064B2F7D"/>
    <w:rsid w:val="06B52E13"/>
    <w:rsid w:val="06BB0575"/>
    <w:rsid w:val="06C975A8"/>
    <w:rsid w:val="06FF4C22"/>
    <w:rsid w:val="072E2449"/>
    <w:rsid w:val="07B74F40"/>
    <w:rsid w:val="07D32100"/>
    <w:rsid w:val="07DE0DA0"/>
    <w:rsid w:val="083C45A3"/>
    <w:rsid w:val="08E31C4F"/>
    <w:rsid w:val="09121003"/>
    <w:rsid w:val="09271AF3"/>
    <w:rsid w:val="095B4216"/>
    <w:rsid w:val="097A1DFC"/>
    <w:rsid w:val="09BE7983"/>
    <w:rsid w:val="0A116F3E"/>
    <w:rsid w:val="0A2378AF"/>
    <w:rsid w:val="0A3C568C"/>
    <w:rsid w:val="0B2C643B"/>
    <w:rsid w:val="0B75691E"/>
    <w:rsid w:val="0C5823BF"/>
    <w:rsid w:val="0CEB50AF"/>
    <w:rsid w:val="0CED10A9"/>
    <w:rsid w:val="0D2D6E28"/>
    <w:rsid w:val="0D38267F"/>
    <w:rsid w:val="0D87215A"/>
    <w:rsid w:val="0DF249F1"/>
    <w:rsid w:val="0E2935DE"/>
    <w:rsid w:val="0E5F04BC"/>
    <w:rsid w:val="0EBE5B7C"/>
    <w:rsid w:val="0EEA682E"/>
    <w:rsid w:val="0EEF5189"/>
    <w:rsid w:val="0F1C036C"/>
    <w:rsid w:val="0FE47517"/>
    <w:rsid w:val="10092FA8"/>
    <w:rsid w:val="101B6CD4"/>
    <w:rsid w:val="1037308E"/>
    <w:rsid w:val="10391366"/>
    <w:rsid w:val="10563BD4"/>
    <w:rsid w:val="10725851"/>
    <w:rsid w:val="10733EFB"/>
    <w:rsid w:val="11433CA2"/>
    <w:rsid w:val="116074E8"/>
    <w:rsid w:val="11721B7F"/>
    <w:rsid w:val="11F679D0"/>
    <w:rsid w:val="12131520"/>
    <w:rsid w:val="121335BE"/>
    <w:rsid w:val="12202FB5"/>
    <w:rsid w:val="12792474"/>
    <w:rsid w:val="12C11152"/>
    <w:rsid w:val="13072C69"/>
    <w:rsid w:val="130C28A5"/>
    <w:rsid w:val="133C21B9"/>
    <w:rsid w:val="13E42C19"/>
    <w:rsid w:val="15AD027E"/>
    <w:rsid w:val="1604099C"/>
    <w:rsid w:val="1663236D"/>
    <w:rsid w:val="171B2300"/>
    <w:rsid w:val="177B0D3D"/>
    <w:rsid w:val="182D5B65"/>
    <w:rsid w:val="185760AF"/>
    <w:rsid w:val="186A749B"/>
    <w:rsid w:val="18CE1648"/>
    <w:rsid w:val="19070400"/>
    <w:rsid w:val="193C7DF2"/>
    <w:rsid w:val="197B350E"/>
    <w:rsid w:val="19944DCA"/>
    <w:rsid w:val="19961829"/>
    <w:rsid w:val="19AD38BD"/>
    <w:rsid w:val="1AD3753C"/>
    <w:rsid w:val="1AD476E1"/>
    <w:rsid w:val="1BCD69CF"/>
    <w:rsid w:val="1C600A6A"/>
    <w:rsid w:val="1C6A228A"/>
    <w:rsid w:val="1CB30BDB"/>
    <w:rsid w:val="1D0A73DE"/>
    <w:rsid w:val="1D16139E"/>
    <w:rsid w:val="1D316148"/>
    <w:rsid w:val="1D4421FF"/>
    <w:rsid w:val="1D730A0D"/>
    <w:rsid w:val="1DCC34A1"/>
    <w:rsid w:val="1DD6032C"/>
    <w:rsid w:val="1E474734"/>
    <w:rsid w:val="1EF171C1"/>
    <w:rsid w:val="1F17639F"/>
    <w:rsid w:val="1F8B4890"/>
    <w:rsid w:val="203A7757"/>
    <w:rsid w:val="2092611C"/>
    <w:rsid w:val="20B7589D"/>
    <w:rsid w:val="211E33B5"/>
    <w:rsid w:val="21430A81"/>
    <w:rsid w:val="214535DA"/>
    <w:rsid w:val="214C2A4A"/>
    <w:rsid w:val="217C4654"/>
    <w:rsid w:val="218E21C0"/>
    <w:rsid w:val="21AE6749"/>
    <w:rsid w:val="220545A4"/>
    <w:rsid w:val="225B1FE7"/>
    <w:rsid w:val="22717D6E"/>
    <w:rsid w:val="227355B8"/>
    <w:rsid w:val="22BD56B4"/>
    <w:rsid w:val="22ED6D8F"/>
    <w:rsid w:val="234F7E81"/>
    <w:rsid w:val="24137F6A"/>
    <w:rsid w:val="243170D8"/>
    <w:rsid w:val="24AF2170"/>
    <w:rsid w:val="24D25BD7"/>
    <w:rsid w:val="24D91F95"/>
    <w:rsid w:val="2502109F"/>
    <w:rsid w:val="25694195"/>
    <w:rsid w:val="257C305D"/>
    <w:rsid w:val="25B96D07"/>
    <w:rsid w:val="25E710EE"/>
    <w:rsid w:val="260C111D"/>
    <w:rsid w:val="261243C1"/>
    <w:rsid w:val="268312D1"/>
    <w:rsid w:val="26831F87"/>
    <w:rsid w:val="26B55B35"/>
    <w:rsid w:val="26E7356F"/>
    <w:rsid w:val="26EC1080"/>
    <w:rsid w:val="277E0E09"/>
    <w:rsid w:val="277F0F7B"/>
    <w:rsid w:val="27D679DA"/>
    <w:rsid w:val="28A34989"/>
    <w:rsid w:val="28C05A09"/>
    <w:rsid w:val="28E77DAB"/>
    <w:rsid w:val="28E94AB7"/>
    <w:rsid w:val="290B53F7"/>
    <w:rsid w:val="29BB7B1B"/>
    <w:rsid w:val="29CC5E68"/>
    <w:rsid w:val="29F72EA5"/>
    <w:rsid w:val="2A0A670D"/>
    <w:rsid w:val="2A704DAF"/>
    <w:rsid w:val="2AA20817"/>
    <w:rsid w:val="2AA711AF"/>
    <w:rsid w:val="2AE72383"/>
    <w:rsid w:val="2B1C36F6"/>
    <w:rsid w:val="2B421F19"/>
    <w:rsid w:val="2B946CD6"/>
    <w:rsid w:val="2B960A5E"/>
    <w:rsid w:val="2BAA4AA1"/>
    <w:rsid w:val="2BAB0B3C"/>
    <w:rsid w:val="2C800D0F"/>
    <w:rsid w:val="2CAA720C"/>
    <w:rsid w:val="2CAD3112"/>
    <w:rsid w:val="2CC83099"/>
    <w:rsid w:val="2D682DB5"/>
    <w:rsid w:val="2D9929BC"/>
    <w:rsid w:val="2DE17D7C"/>
    <w:rsid w:val="2E1F003F"/>
    <w:rsid w:val="2E3D777A"/>
    <w:rsid w:val="2E74094B"/>
    <w:rsid w:val="2E9A49BB"/>
    <w:rsid w:val="2EFB745E"/>
    <w:rsid w:val="2F7059EB"/>
    <w:rsid w:val="2F820076"/>
    <w:rsid w:val="2F8D6035"/>
    <w:rsid w:val="2F9A4805"/>
    <w:rsid w:val="2FC12000"/>
    <w:rsid w:val="2FFE0250"/>
    <w:rsid w:val="30036FAD"/>
    <w:rsid w:val="307165F7"/>
    <w:rsid w:val="30721CB6"/>
    <w:rsid w:val="30B03BFC"/>
    <w:rsid w:val="30B105BE"/>
    <w:rsid w:val="31DF5644"/>
    <w:rsid w:val="31F20C69"/>
    <w:rsid w:val="320159EF"/>
    <w:rsid w:val="32230C46"/>
    <w:rsid w:val="324F1AD3"/>
    <w:rsid w:val="32A50A6A"/>
    <w:rsid w:val="33287646"/>
    <w:rsid w:val="332A5A83"/>
    <w:rsid w:val="335118FB"/>
    <w:rsid w:val="33AB798E"/>
    <w:rsid w:val="33D24CB4"/>
    <w:rsid w:val="33E55EAA"/>
    <w:rsid w:val="34044448"/>
    <w:rsid w:val="341436F9"/>
    <w:rsid w:val="343510A0"/>
    <w:rsid w:val="34AC3B1F"/>
    <w:rsid w:val="34E56B5F"/>
    <w:rsid w:val="34FA483F"/>
    <w:rsid w:val="3520346C"/>
    <w:rsid w:val="35506B0B"/>
    <w:rsid w:val="356A440E"/>
    <w:rsid w:val="35963D69"/>
    <w:rsid w:val="35C673FB"/>
    <w:rsid w:val="35D05F92"/>
    <w:rsid w:val="3690122B"/>
    <w:rsid w:val="373F06D5"/>
    <w:rsid w:val="374843D9"/>
    <w:rsid w:val="37CD4D2F"/>
    <w:rsid w:val="38A4326D"/>
    <w:rsid w:val="38D56D60"/>
    <w:rsid w:val="38D761F4"/>
    <w:rsid w:val="39082AA4"/>
    <w:rsid w:val="390A6ED8"/>
    <w:rsid w:val="39AB79C4"/>
    <w:rsid w:val="39B54753"/>
    <w:rsid w:val="3A1F7433"/>
    <w:rsid w:val="3A50753E"/>
    <w:rsid w:val="3A9C6BD8"/>
    <w:rsid w:val="3AD52FA7"/>
    <w:rsid w:val="3BC86C81"/>
    <w:rsid w:val="3BF162C3"/>
    <w:rsid w:val="3C5E11A2"/>
    <w:rsid w:val="3CDB31EE"/>
    <w:rsid w:val="3CDD46EC"/>
    <w:rsid w:val="3D2371C6"/>
    <w:rsid w:val="3DC10EF0"/>
    <w:rsid w:val="3E7778CD"/>
    <w:rsid w:val="3E8B7D96"/>
    <w:rsid w:val="3EA9500B"/>
    <w:rsid w:val="3F3F2C7F"/>
    <w:rsid w:val="3F6F2EB2"/>
    <w:rsid w:val="3F796432"/>
    <w:rsid w:val="3F82121B"/>
    <w:rsid w:val="3F8E5ECC"/>
    <w:rsid w:val="3FD835B5"/>
    <w:rsid w:val="3FEA259C"/>
    <w:rsid w:val="401A6C18"/>
    <w:rsid w:val="401B03DB"/>
    <w:rsid w:val="40643820"/>
    <w:rsid w:val="40D861EC"/>
    <w:rsid w:val="41931F9A"/>
    <w:rsid w:val="41E26C36"/>
    <w:rsid w:val="41F42016"/>
    <w:rsid w:val="426D2E47"/>
    <w:rsid w:val="42787BDB"/>
    <w:rsid w:val="43001970"/>
    <w:rsid w:val="43417E2F"/>
    <w:rsid w:val="434E0F1D"/>
    <w:rsid w:val="435538A2"/>
    <w:rsid w:val="43B77719"/>
    <w:rsid w:val="43C123A5"/>
    <w:rsid w:val="43E37113"/>
    <w:rsid w:val="443A04B0"/>
    <w:rsid w:val="444C383D"/>
    <w:rsid w:val="44911868"/>
    <w:rsid w:val="44A70A02"/>
    <w:rsid w:val="44FB24E6"/>
    <w:rsid w:val="45040BAE"/>
    <w:rsid w:val="45093488"/>
    <w:rsid w:val="450F4247"/>
    <w:rsid w:val="451F7F66"/>
    <w:rsid w:val="45AE2244"/>
    <w:rsid w:val="45C45A6B"/>
    <w:rsid w:val="45D1529E"/>
    <w:rsid w:val="4622553B"/>
    <w:rsid w:val="46945DEF"/>
    <w:rsid w:val="46965745"/>
    <w:rsid w:val="46970243"/>
    <w:rsid w:val="46B92BA1"/>
    <w:rsid w:val="46D5127E"/>
    <w:rsid w:val="46DA0A22"/>
    <w:rsid w:val="471F2FD0"/>
    <w:rsid w:val="472777B9"/>
    <w:rsid w:val="47662C27"/>
    <w:rsid w:val="476C0E21"/>
    <w:rsid w:val="477051ED"/>
    <w:rsid w:val="47E2492D"/>
    <w:rsid w:val="490115D2"/>
    <w:rsid w:val="494321F1"/>
    <w:rsid w:val="49624F05"/>
    <w:rsid w:val="49625B76"/>
    <w:rsid w:val="49AB577E"/>
    <w:rsid w:val="49D371A5"/>
    <w:rsid w:val="49F33883"/>
    <w:rsid w:val="49F66671"/>
    <w:rsid w:val="4A2114CE"/>
    <w:rsid w:val="4A7279C0"/>
    <w:rsid w:val="4A7D54AB"/>
    <w:rsid w:val="4AA04DE4"/>
    <w:rsid w:val="4AAA67AD"/>
    <w:rsid w:val="4B0020D2"/>
    <w:rsid w:val="4B31141E"/>
    <w:rsid w:val="4BBE3774"/>
    <w:rsid w:val="4C116750"/>
    <w:rsid w:val="4CC85E26"/>
    <w:rsid w:val="4CCF5FE7"/>
    <w:rsid w:val="4E3F3664"/>
    <w:rsid w:val="4E9D3644"/>
    <w:rsid w:val="4EB64F05"/>
    <w:rsid w:val="4EBB298D"/>
    <w:rsid w:val="4EC401CB"/>
    <w:rsid w:val="4ECA7529"/>
    <w:rsid w:val="4F413BB6"/>
    <w:rsid w:val="4F7466CD"/>
    <w:rsid w:val="4FA862AE"/>
    <w:rsid w:val="4FCD4C75"/>
    <w:rsid w:val="50401EB5"/>
    <w:rsid w:val="50564A2F"/>
    <w:rsid w:val="50836B81"/>
    <w:rsid w:val="50B75D74"/>
    <w:rsid w:val="50EA703B"/>
    <w:rsid w:val="50FD6250"/>
    <w:rsid w:val="50FF4C4A"/>
    <w:rsid w:val="512138A8"/>
    <w:rsid w:val="513F4A63"/>
    <w:rsid w:val="51554D86"/>
    <w:rsid w:val="52B7358D"/>
    <w:rsid w:val="534C1B41"/>
    <w:rsid w:val="535C28FF"/>
    <w:rsid w:val="536B35F1"/>
    <w:rsid w:val="53717208"/>
    <w:rsid w:val="538378D1"/>
    <w:rsid w:val="53C05963"/>
    <w:rsid w:val="53E0716E"/>
    <w:rsid w:val="53E8639A"/>
    <w:rsid w:val="540E59E9"/>
    <w:rsid w:val="5417592A"/>
    <w:rsid w:val="545030B8"/>
    <w:rsid w:val="54A707BC"/>
    <w:rsid w:val="54AC5F44"/>
    <w:rsid w:val="55551179"/>
    <w:rsid w:val="55E1719C"/>
    <w:rsid w:val="55FB33F4"/>
    <w:rsid w:val="56235510"/>
    <w:rsid w:val="56446001"/>
    <w:rsid w:val="56CD1F62"/>
    <w:rsid w:val="573C6269"/>
    <w:rsid w:val="575020D2"/>
    <w:rsid w:val="57831159"/>
    <w:rsid w:val="5789273C"/>
    <w:rsid w:val="588957FE"/>
    <w:rsid w:val="591B6E42"/>
    <w:rsid w:val="594173D9"/>
    <w:rsid w:val="59664D6F"/>
    <w:rsid w:val="59710644"/>
    <w:rsid w:val="597873C1"/>
    <w:rsid w:val="59B26615"/>
    <w:rsid w:val="59F90B2B"/>
    <w:rsid w:val="59F958B8"/>
    <w:rsid w:val="5A1F0FF0"/>
    <w:rsid w:val="5A2173B3"/>
    <w:rsid w:val="5A2A7DF6"/>
    <w:rsid w:val="5A300F8C"/>
    <w:rsid w:val="5A301294"/>
    <w:rsid w:val="5A4628D7"/>
    <w:rsid w:val="5A626930"/>
    <w:rsid w:val="5A8E76A7"/>
    <w:rsid w:val="5AB56E7F"/>
    <w:rsid w:val="5AE400AC"/>
    <w:rsid w:val="5B2708B0"/>
    <w:rsid w:val="5BA83C14"/>
    <w:rsid w:val="5BF306C2"/>
    <w:rsid w:val="5C3F6F0D"/>
    <w:rsid w:val="5C504DD8"/>
    <w:rsid w:val="5C8578E5"/>
    <w:rsid w:val="5C905CA8"/>
    <w:rsid w:val="5CD42784"/>
    <w:rsid w:val="5CFB7ADF"/>
    <w:rsid w:val="5D07760F"/>
    <w:rsid w:val="5D10780F"/>
    <w:rsid w:val="5D58657A"/>
    <w:rsid w:val="5D83199A"/>
    <w:rsid w:val="5D9678B9"/>
    <w:rsid w:val="5D9E2631"/>
    <w:rsid w:val="5F7C4D9B"/>
    <w:rsid w:val="5FA93496"/>
    <w:rsid w:val="5FF227DA"/>
    <w:rsid w:val="604078CB"/>
    <w:rsid w:val="606162B4"/>
    <w:rsid w:val="60A21F18"/>
    <w:rsid w:val="6112657D"/>
    <w:rsid w:val="61295318"/>
    <w:rsid w:val="614F47F2"/>
    <w:rsid w:val="61555FDD"/>
    <w:rsid w:val="61A50F5E"/>
    <w:rsid w:val="61AC36AD"/>
    <w:rsid w:val="61CD652B"/>
    <w:rsid w:val="61F80F35"/>
    <w:rsid w:val="622E642E"/>
    <w:rsid w:val="622E6F37"/>
    <w:rsid w:val="623A4168"/>
    <w:rsid w:val="62FB02E6"/>
    <w:rsid w:val="639232BE"/>
    <w:rsid w:val="63E24B15"/>
    <w:rsid w:val="64014790"/>
    <w:rsid w:val="641D0761"/>
    <w:rsid w:val="64C31643"/>
    <w:rsid w:val="65117F61"/>
    <w:rsid w:val="652A5C1B"/>
    <w:rsid w:val="65960912"/>
    <w:rsid w:val="65F80FB5"/>
    <w:rsid w:val="661016F4"/>
    <w:rsid w:val="667D39EF"/>
    <w:rsid w:val="6685748C"/>
    <w:rsid w:val="672B54A7"/>
    <w:rsid w:val="67380B1A"/>
    <w:rsid w:val="673A3FD2"/>
    <w:rsid w:val="676E5C0D"/>
    <w:rsid w:val="676E6176"/>
    <w:rsid w:val="677F29B4"/>
    <w:rsid w:val="67945332"/>
    <w:rsid w:val="67A00B46"/>
    <w:rsid w:val="67B41DFC"/>
    <w:rsid w:val="67D6379C"/>
    <w:rsid w:val="67F210B3"/>
    <w:rsid w:val="684F4EC8"/>
    <w:rsid w:val="685E74A3"/>
    <w:rsid w:val="68FB1CAC"/>
    <w:rsid w:val="690D3B40"/>
    <w:rsid w:val="69E668CC"/>
    <w:rsid w:val="6A8046FF"/>
    <w:rsid w:val="6AF27BC6"/>
    <w:rsid w:val="6B1C6C0E"/>
    <w:rsid w:val="6B3D3A21"/>
    <w:rsid w:val="6B522807"/>
    <w:rsid w:val="6B721A2E"/>
    <w:rsid w:val="6B7E5666"/>
    <w:rsid w:val="6B853A16"/>
    <w:rsid w:val="6B862FDD"/>
    <w:rsid w:val="6BCF0C22"/>
    <w:rsid w:val="6C2076A5"/>
    <w:rsid w:val="6C2B1406"/>
    <w:rsid w:val="6C391ED4"/>
    <w:rsid w:val="6C5728CF"/>
    <w:rsid w:val="6CC26479"/>
    <w:rsid w:val="6CD27DE8"/>
    <w:rsid w:val="6CE54522"/>
    <w:rsid w:val="6CEA4DD4"/>
    <w:rsid w:val="6D0C09F5"/>
    <w:rsid w:val="6D556466"/>
    <w:rsid w:val="6D857B59"/>
    <w:rsid w:val="6DBA3D9F"/>
    <w:rsid w:val="6DF52550"/>
    <w:rsid w:val="6DF7340E"/>
    <w:rsid w:val="6F715FDB"/>
    <w:rsid w:val="6FC55EA5"/>
    <w:rsid w:val="6FC6534B"/>
    <w:rsid w:val="6FD4172A"/>
    <w:rsid w:val="704F63CF"/>
    <w:rsid w:val="705975BD"/>
    <w:rsid w:val="70672C5C"/>
    <w:rsid w:val="707F6D07"/>
    <w:rsid w:val="708C477A"/>
    <w:rsid w:val="70946733"/>
    <w:rsid w:val="7101032D"/>
    <w:rsid w:val="711C2F16"/>
    <w:rsid w:val="71581F5C"/>
    <w:rsid w:val="71776753"/>
    <w:rsid w:val="717A5D42"/>
    <w:rsid w:val="717E4E94"/>
    <w:rsid w:val="71806206"/>
    <w:rsid w:val="71E718AE"/>
    <w:rsid w:val="723256AE"/>
    <w:rsid w:val="72426C57"/>
    <w:rsid w:val="72506191"/>
    <w:rsid w:val="72620D80"/>
    <w:rsid w:val="727845D2"/>
    <w:rsid w:val="72860051"/>
    <w:rsid w:val="729C5F9E"/>
    <w:rsid w:val="72C34FC1"/>
    <w:rsid w:val="72D772ED"/>
    <w:rsid w:val="72D93222"/>
    <w:rsid w:val="73F60C9E"/>
    <w:rsid w:val="744246CD"/>
    <w:rsid w:val="744E32F1"/>
    <w:rsid w:val="7454773C"/>
    <w:rsid w:val="74823416"/>
    <w:rsid w:val="74927232"/>
    <w:rsid w:val="74AE0444"/>
    <w:rsid w:val="751C1153"/>
    <w:rsid w:val="758636FF"/>
    <w:rsid w:val="75904E3A"/>
    <w:rsid w:val="75A76819"/>
    <w:rsid w:val="760266B1"/>
    <w:rsid w:val="760D0A2B"/>
    <w:rsid w:val="761D2618"/>
    <w:rsid w:val="764C2445"/>
    <w:rsid w:val="76A23C5C"/>
    <w:rsid w:val="76E23F0B"/>
    <w:rsid w:val="78292FAD"/>
    <w:rsid w:val="784B4BDC"/>
    <w:rsid w:val="784E0831"/>
    <w:rsid w:val="78747C83"/>
    <w:rsid w:val="78BE67C9"/>
    <w:rsid w:val="78EA70A7"/>
    <w:rsid w:val="79657FAF"/>
    <w:rsid w:val="799140B4"/>
    <w:rsid w:val="79E74C15"/>
    <w:rsid w:val="79FF3597"/>
    <w:rsid w:val="7A107EBD"/>
    <w:rsid w:val="7A7B2028"/>
    <w:rsid w:val="7ABC2453"/>
    <w:rsid w:val="7AC60433"/>
    <w:rsid w:val="7AD6267E"/>
    <w:rsid w:val="7B0A5D72"/>
    <w:rsid w:val="7B5214A2"/>
    <w:rsid w:val="7B6B1A54"/>
    <w:rsid w:val="7B6E3676"/>
    <w:rsid w:val="7B710DD2"/>
    <w:rsid w:val="7BCA3986"/>
    <w:rsid w:val="7BE052A7"/>
    <w:rsid w:val="7C81056F"/>
    <w:rsid w:val="7C925475"/>
    <w:rsid w:val="7CE96ED6"/>
    <w:rsid w:val="7D172F96"/>
    <w:rsid w:val="7D3C7423"/>
    <w:rsid w:val="7E0D2692"/>
    <w:rsid w:val="7E640AFC"/>
    <w:rsid w:val="7EB11284"/>
    <w:rsid w:val="7ED65DDC"/>
    <w:rsid w:val="7F7230E5"/>
    <w:rsid w:val="7F883E87"/>
    <w:rsid w:val="7F9422AE"/>
    <w:rsid w:val="7FD64A7D"/>
    <w:rsid w:val="7FE5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link w:val="21"/>
    <w:qFormat/>
    <w:uiPriority w:val="9"/>
    <w:pPr>
      <w:spacing w:before="480" w:after="0"/>
      <w:contextualSpacing/>
      <w:outlineLvl w:val="0"/>
    </w:pPr>
    <w:rPr>
      <w:smallCaps/>
      <w:spacing w:val="5"/>
      <w:sz w:val="36"/>
      <w:szCs w:val="36"/>
    </w:rPr>
  </w:style>
  <w:style w:type="paragraph" w:styleId="4">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5">
    <w:name w:val="annotation text"/>
    <w:basedOn w:val="1"/>
    <w:semiHidden/>
    <w:unhideWhenUsed/>
    <w:qFormat/>
    <w:uiPriority w:val="99"/>
    <w:pPr>
      <w:jc w:val="left"/>
    </w:pPr>
  </w:style>
  <w:style w:type="paragraph" w:styleId="6">
    <w:name w:val="Body Text"/>
    <w:basedOn w:val="1"/>
    <w:link w:val="16"/>
    <w:semiHidden/>
    <w:unhideWhenUsed/>
    <w:qFormat/>
    <w:uiPriority w:val="99"/>
    <w:pPr>
      <w:spacing w:after="120"/>
    </w:pPr>
  </w:style>
  <w:style w:type="paragraph" w:styleId="7">
    <w:name w:val="Balloon Text"/>
    <w:basedOn w:val="1"/>
    <w:link w:val="18"/>
    <w:semiHidden/>
    <w:unhideWhenUsed/>
    <w:qFormat/>
    <w:uiPriority w:val="99"/>
    <w:pPr>
      <w:spacing w:after="0" w:line="240" w:lineRule="auto"/>
    </w:pPr>
    <w:rPr>
      <w:sz w:val="18"/>
      <w:szCs w:val="18"/>
    </w:rPr>
  </w:style>
  <w:style w:type="paragraph" w:styleId="8">
    <w:name w:val="footer"/>
    <w:basedOn w:val="1"/>
    <w:link w:val="20"/>
    <w:unhideWhenUsed/>
    <w:qFormat/>
    <w:uiPriority w:val="0"/>
    <w:pPr>
      <w:tabs>
        <w:tab w:val="center" w:pos="4153"/>
        <w:tab w:val="right" w:pos="8306"/>
      </w:tabs>
      <w:snapToGrid w:val="0"/>
      <w:spacing w:line="240" w:lineRule="auto"/>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First Indent"/>
    <w:basedOn w:val="6"/>
    <w:link w:val="17"/>
    <w:qFormat/>
    <w:uiPriority w:val="0"/>
    <w:pPr>
      <w:ind w:firstLine="420"/>
    </w:pPr>
    <w:rPr>
      <w:szCs w:val="20"/>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正文文本 字符"/>
    <w:basedOn w:val="14"/>
    <w:link w:val="6"/>
    <w:semiHidden/>
    <w:qFormat/>
    <w:uiPriority w:val="99"/>
    <w:rPr>
      <w:rFonts w:ascii="Cambria" w:hAnsi="Cambria" w:eastAsia="宋体" w:cs="Times New Roman"/>
      <w:kern w:val="0"/>
      <w:sz w:val="22"/>
      <w:lang w:eastAsia="en-US" w:bidi="en-US"/>
    </w:rPr>
  </w:style>
  <w:style w:type="character" w:customStyle="1" w:styleId="17">
    <w:name w:val="正文文本首行缩进 字符"/>
    <w:basedOn w:val="16"/>
    <w:link w:val="12"/>
    <w:qFormat/>
    <w:uiPriority w:val="0"/>
    <w:rPr>
      <w:rFonts w:ascii="Cambria" w:hAnsi="Cambria" w:eastAsia="宋体" w:cs="Times New Roman"/>
      <w:kern w:val="0"/>
      <w:sz w:val="22"/>
      <w:szCs w:val="20"/>
      <w:lang w:eastAsia="en-US" w:bidi="en-US"/>
    </w:rPr>
  </w:style>
  <w:style w:type="character" w:customStyle="1" w:styleId="18">
    <w:name w:val="批注框文本 字符"/>
    <w:basedOn w:val="14"/>
    <w:link w:val="7"/>
    <w:semiHidden/>
    <w:qFormat/>
    <w:uiPriority w:val="99"/>
    <w:rPr>
      <w:rFonts w:ascii="Cambria" w:hAnsi="Cambria" w:eastAsia="宋体" w:cs="Times New Roman"/>
      <w:kern w:val="0"/>
      <w:sz w:val="18"/>
      <w:szCs w:val="18"/>
      <w:lang w:eastAsia="en-US" w:bidi="en-US"/>
    </w:rPr>
  </w:style>
  <w:style w:type="character" w:customStyle="1" w:styleId="19">
    <w:name w:val="页眉 字符"/>
    <w:basedOn w:val="14"/>
    <w:link w:val="9"/>
    <w:semiHidden/>
    <w:qFormat/>
    <w:uiPriority w:val="99"/>
    <w:rPr>
      <w:rFonts w:ascii="Cambria" w:hAnsi="Cambria" w:eastAsia="宋体" w:cs="Times New Roman"/>
      <w:kern w:val="0"/>
      <w:sz w:val="18"/>
      <w:szCs w:val="18"/>
      <w:lang w:eastAsia="en-US" w:bidi="en-US"/>
    </w:rPr>
  </w:style>
  <w:style w:type="character" w:customStyle="1" w:styleId="20">
    <w:name w:val="页脚 字符"/>
    <w:basedOn w:val="14"/>
    <w:link w:val="8"/>
    <w:semiHidden/>
    <w:qFormat/>
    <w:uiPriority w:val="99"/>
    <w:rPr>
      <w:rFonts w:ascii="Cambria" w:hAnsi="Cambria" w:eastAsia="宋体" w:cs="Times New Roman"/>
      <w:kern w:val="0"/>
      <w:sz w:val="18"/>
      <w:szCs w:val="18"/>
      <w:lang w:eastAsia="en-US" w:bidi="en-US"/>
    </w:rPr>
  </w:style>
  <w:style w:type="character" w:customStyle="1" w:styleId="21">
    <w:name w:val="标题 1 字符"/>
    <w:basedOn w:val="14"/>
    <w:link w:val="3"/>
    <w:qFormat/>
    <w:uiPriority w:val="9"/>
    <w:rPr>
      <w:rFonts w:ascii="Cambria" w:hAnsi="Cambria" w:eastAsia="宋体" w:cs="Times New Roman"/>
      <w:smallCaps/>
      <w:spacing w:val="5"/>
      <w:kern w:val="0"/>
      <w:sz w:val="36"/>
      <w:szCs w:val="36"/>
      <w:lang w:eastAsia="en-US" w:bidi="en-US"/>
    </w:rPr>
  </w:style>
  <w:style w:type="character" w:customStyle="1" w:styleId="22">
    <w:name w:val="标题 2 字符"/>
    <w:basedOn w:val="14"/>
    <w:link w:val="4"/>
    <w:semiHidden/>
    <w:qFormat/>
    <w:uiPriority w:val="9"/>
    <w:rPr>
      <w:rFonts w:asciiTheme="majorHAnsi" w:hAnsiTheme="majorHAnsi" w:eastAsiaTheme="majorEastAsia" w:cstheme="majorBidi"/>
      <w:b/>
      <w:bCs/>
      <w:kern w:val="0"/>
      <w:sz w:val="32"/>
      <w:szCs w:val="32"/>
      <w:lang w:eastAsia="en-US" w:bidi="en-US"/>
    </w:rPr>
  </w:style>
  <w:style w:type="paragraph" w:styleId="23">
    <w:name w:val="List Paragraph"/>
    <w:basedOn w:val="1"/>
    <w:qFormat/>
    <w:uiPriority w:val="34"/>
    <w:pPr>
      <w:ind w:firstLine="420" w:firstLineChars="200"/>
    </w:pPr>
  </w:style>
  <w:style w:type="paragraph" w:customStyle="1" w:styleId="24">
    <w:name w:val="TOC 标题1"/>
    <w:basedOn w:val="3"/>
    <w:next w:val="1"/>
    <w:semiHidden/>
    <w:unhideWhenUsed/>
    <w:qFormat/>
    <w:uiPriority w:val="39"/>
    <w:pPr>
      <w:keepNext/>
      <w:keepLines/>
      <w:contextualSpacing w:val="0"/>
      <w:outlineLvl w:val="9"/>
    </w:pPr>
    <w:rPr>
      <w:rFonts w:asciiTheme="majorHAnsi" w:hAnsiTheme="majorHAnsi" w:eastAsiaTheme="majorEastAsia" w:cstheme="majorBidi"/>
      <w:b/>
      <w:bCs/>
      <w:smallCaps w:val="0"/>
      <w:color w:val="376092" w:themeColor="accent1" w:themeShade="BF"/>
      <w:spacing w:val="0"/>
      <w:sz w:val="28"/>
      <w:szCs w:val="28"/>
      <w:lang w:eastAsia="zh-CN" w:bidi="ar-SA"/>
    </w:rPr>
  </w:style>
  <w:style w:type="character" w:customStyle="1" w:styleId="25">
    <w:name w:val="页眉 Char"/>
    <w:semiHidden/>
    <w:qFormat/>
    <w:uiPriority w:val="99"/>
    <w:rPr>
      <w:rFonts w:ascii="Cambria" w:hAnsi="Cambria" w:eastAsia="宋体" w:cs="Times New Roman"/>
      <w:kern w:val="0"/>
      <w:sz w:val="18"/>
      <w:szCs w:val="18"/>
      <w:lang w:eastAsia="en-US" w:bidi="en-US"/>
    </w:rPr>
  </w:style>
  <w:style w:type="character" w:customStyle="1" w:styleId="26">
    <w:name w:val="font11"/>
    <w:basedOn w:val="14"/>
    <w:qFormat/>
    <w:uiPriority w:val="0"/>
    <w:rPr>
      <w:rFonts w:hint="eastAsia" w:ascii="仿宋" w:hAnsi="仿宋" w:eastAsia="仿宋" w:cs="仿宋"/>
      <w:color w:val="000000"/>
      <w:sz w:val="18"/>
      <w:szCs w:val="18"/>
      <w:u w:val="none"/>
    </w:rPr>
  </w:style>
  <w:style w:type="character" w:customStyle="1" w:styleId="27">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kb\Desktop\PXAL-AS0202-&#27169;&#26495;-&#35780;&#20272;&#25253;&#21578;-&#20225;&#19994;&#20215;&#20540;-&#38750;&#22269;&#36164;&#31867;-2018&#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0085F-D48B-4AF2-BF29-28EC92034613}">
  <ds:schemaRefs/>
</ds:datastoreItem>
</file>

<file path=docProps/app.xml><?xml version="1.0" encoding="utf-8"?>
<Properties xmlns="http://schemas.openxmlformats.org/officeDocument/2006/extended-properties" xmlns:vt="http://schemas.openxmlformats.org/officeDocument/2006/docPropsVTypes">
  <Template>PXAL-AS0202-模板-评估报告-企业价值-非国资类-2018版</Template>
  <Company>微软中国</Company>
  <Pages>2</Pages>
  <Words>1092</Words>
  <Characters>1159</Characters>
  <Lines>124</Lines>
  <Paragraphs>35</Paragraphs>
  <TotalTime>3</TotalTime>
  <ScaleCrop>false</ScaleCrop>
  <LinksUpToDate>false</LinksUpToDate>
  <CharactersWithSpaces>1295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2018-01-24T08:10:00Z</dcterms:created>
  <dc:creator>kmkb</dc:creator>
  <cp:lastModifiedBy>lenovo</cp:lastModifiedBy>
  <cp:lastPrinted>2021-07-12T01:23:00Z</cp:lastPrinted>
  <dcterms:modified xsi:type="dcterms:W3CDTF">2022-07-18T08:21:31Z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0186D3F55F184B6DAC0B968A688DFE13</vt:lpwstr>
  </property>
</Properties>
</file>