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eastAsia="仿宋" w:asciiTheme="minorHAnsi" w:hAnsiTheme="minorHAnsi"/>
          <w:b/>
          <w:bCs/>
          <w:kern w:val="2"/>
          <w:sz w:val="28"/>
          <w:szCs w:val="28"/>
          <w:lang w:eastAsia="zh-CN"/>
        </w:rPr>
      </w:pPr>
      <w:bookmarkStart w:id="3" w:name="_GoBack"/>
      <w:bookmarkEnd w:id="3"/>
      <w:bookmarkStart w:id="0" w:name="_Hlk23253334"/>
      <w:bookmarkStart w:id="1" w:name="_Toc447125208"/>
      <w:r>
        <w:rPr>
          <w:rFonts w:hint="eastAsia" w:eastAsia="仿宋" w:asciiTheme="minorHAnsi" w:hAnsiTheme="minorHAnsi"/>
          <w:b/>
          <w:bCs/>
          <w:kern w:val="2"/>
          <w:sz w:val="28"/>
          <w:szCs w:val="28"/>
          <w:lang w:eastAsia="zh-CN"/>
        </w:rPr>
        <w:t>曲靖市麒麟区自然资源局拟对麒麟区东山青源采石场采矿权</w:t>
      </w:r>
    </w:p>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eastAsia="仿宋" w:asciiTheme="minorHAnsi" w:hAnsiTheme="minorHAnsi"/>
          <w:b/>
          <w:bCs/>
          <w:kern w:val="2"/>
          <w:sz w:val="28"/>
          <w:szCs w:val="28"/>
          <w:lang w:eastAsia="zh-CN"/>
        </w:rPr>
      </w:pPr>
      <w:r>
        <w:rPr>
          <w:rFonts w:hint="eastAsia" w:eastAsia="仿宋" w:asciiTheme="minorHAnsi" w:hAnsiTheme="minorHAnsi"/>
          <w:b/>
          <w:bCs/>
          <w:kern w:val="2"/>
          <w:sz w:val="28"/>
          <w:szCs w:val="28"/>
          <w:lang w:eastAsia="zh-CN"/>
        </w:rPr>
        <w:t>进行竞争性出让所涉及的麒麟区东山青源采石场</w:t>
      </w:r>
    </w:p>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9"/>
        <w:rPr>
          <w:rFonts w:hint="eastAsia" w:eastAsia="仿宋" w:asciiTheme="minorHAnsi" w:hAnsiTheme="minorHAnsi"/>
          <w:b/>
          <w:bCs/>
          <w:kern w:val="2"/>
          <w:sz w:val="28"/>
          <w:szCs w:val="28"/>
          <w:lang w:eastAsia="zh-CN"/>
        </w:rPr>
      </w:pPr>
      <w:r>
        <w:rPr>
          <w:rFonts w:hint="eastAsia" w:eastAsia="仿宋" w:asciiTheme="minorHAnsi" w:hAnsiTheme="minorHAnsi"/>
          <w:b/>
          <w:bCs/>
          <w:kern w:val="2"/>
          <w:sz w:val="28"/>
          <w:szCs w:val="28"/>
          <w:lang w:eastAsia="zh-CN"/>
        </w:rPr>
        <w:t>采矿权涉矿相关资产市场价值</w:t>
      </w:r>
    </w:p>
    <w:bookmarkEnd w:id="0"/>
    <w:p>
      <w:pPr>
        <w:keepNext w:val="0"/>
        <w:keepLines w:val="0"/>
        <w:pageBreakBefore w:val="0"/>
        <w:widowControl/>
        <w:kinsoku/>
        <w:wordWrap/>
        <w:overflowPunct/>
        <w:topLinePunct w:val="0"/>
        <w:autoSpaceDE/>
        <w:autoSpaceDN/>
        <w:bidi w:val="0"/>
        <w:adjustRightInd/>
        <w:snapToGrid/>
        <w:spacing w:after="0" w:line="0" w:lineRule="atLeast"/>
        <w:jc w:val="center"/>
        <w:textAlignment w:val="auto"/>
        <w:outlineLvl w:val="0"/>
        <w:rPr>
          <w:rFonts w:hint="eastAsia" w:eastAsia="仿宋" w:asciiTheme="minorHAnsi" w:hAnsiTheme="minorHAnsi"/>
          <w:b/>
          <w:bCs/>
          <w:kern w:val="2"/>
          <w:sz w:val="28"/>
          <w:szCs w:val="28"/>
          <w:lang w:eastAsia="zh-CN"/>
        </w:rPr>
      </w:pPr>
      <w:bookmarkStart w:id="2" w:name="_Toc25574"/>
      <w:r>
        <w:rPr>
          <w:rFonts w:hint="eastAsia" w:eastAsia="仿宋" w:asciiTheme="minorHAnsi" w:hAnsiTheme="minorHAnsi"/>
          <w:b/>
          <w:bCs/>
          <w:kern w:val="2"/>
          <w:sz w:val="28"/>
          <w:szCs w:val="28"/>
          <w:lang w:eastAsia="zh-CN"/>
        </w:rPr>
        <w:t>资产评估报告摘要</w:t>
      </w:r>
      <w:bookmarkEnd w:id="1"/>
      <w:bookmarkEnd w:id="2"/>
    </w:p>
    <w:p>
      <w:pPr>
        <w:adjustRightInd w:val="0"/>
        <w:snapToGrid w:val="0"/>
        <w:spacing w:after="100" w:line="240" w:lineRule="auto"/>
        <w:jc w:val="center"/>
        <w:rPr>
          <w:rFonts w:eastAsia="仿宋" w:asciiTheme="minorHAnsi" w:hAnsiTheme="minorHAnsi"/>
          <w:spacing w:val="18"/>
          <w:sz w:val="21"/>
          <w:szCs w:val="21"/>
          <w:lang w:eastAsia="zh-CN"/>
        </w:rPr>
      </w:pPr>
      <w:r>
        <w:rPr>
          <w:rFonts w:hint="eastAsia" w:eastAsia="仿宋" w:asciiTheme="minorHAnsi" w:hAnsiTheme="minorHAnsi"/>
          <w:spacing w:val="18"/>
          <w:sz w:val="21"/>
          <w:szCs w:val="21"/>
          <w:highlight w:val="none"/>
          <w:lang w:eastAsia="zh-CN"/>
        </w:rPr>
        <w:t>鹏信资估报字[</w:t>
      </w:r>
      <w:r>
        <w:rPr>
          <w:rFonts w:hint="eastAsia" w:ascii="Calibri" w:hAnsi="Calibri" w:eastAsia="仿宋"/>
          <w:spacing w:val="18"/>
          <w:sz w:val="21"/>
          <w:szCs w:val="21"/>
          <w:highlight w:val="none"/>
          <w:lang w:eastAsia="zh-CN"/>
        </w:rPr>
        <w:t>2022</w:t>
      </w:r>
      <w:r>
        <w:rPr>
          <w:rFonts w:hint="eastAsia" w:eastAsia="仿宋" w:asciiTheme="minorHAnsi" w:hAnsiTheme="minorHAnsi"/>
          <w:spacing w:val="18"/>
          <w:sz w:val="21"/>
          <w:szCs w:val="21"/>
          <w:highlight w:val="none"/>
          <w:lang w:eastAsia="zh-CN"/>
        </w:rPr>
        <w:t>]第YKM044</w:t>
      </w:r>
      <w:r>
        <w:rPr>
          <w:rFonts w:hint="eastAsia" w:ascii="Calibri" w:hAnsi="Calibri" w:eastAsia="仿宋"/>
          <w:spacing w:val="18"/>
          <w:sz w:val="21"/>
          <w:szCs w:val="21"/>
          <w:highlight w:val="none"/>
          <w:lang w:val="en-US" w:eastAsia="zh-CN"/>
        </w:rPr>
        <w:t>号</w:t>
      </w:r>
    </w:p>
    <w:tbl>
      <w:tblPr>
        <w:tblStyle w:val="5"/>
        <w:tblW w:w="8130" w:type="dxa"/>
        <w:tblInd w:w="39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2F2F2"/>
        <w:tblLayout w:type="fixed"/>
        <w:tblCellMar>
          <w:top w:w="0" w:type="dxa"/>
          <w:left w:w="108" w:type="dxa"/>
          <w:bottom w:w="0" w:type="dxa"/>
          <w:right w:w="108" w:type="dxa"/>
        </w:tblCellMar>
      </w:tblPr>
      <w:tblGrid>
        <w:gridCol w:w="81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2F2F2"/>
          <w:tblLayout w:type="fixed"/>
          <w:tblCellMar>
            <w:top w:w="0" w:type="dxa"/>
            <w:left w:w="108" w:type="dxa"/>
            <w:bottom w:w="0" w:type="dxa"/>
            <w:right w:w="108" w:type="dxa"/>
          </w:tblCellMar>
        </w:tblPrEx>
        <w:tc>
          <w:tcPr>
            <w:tcW w:w="8130" w:type="dxa"/>
            <w:shd w:val="clear" w:color="auto" w:fill="F2F2F2"/>
          </w:tcPr>
          <w:p>
            <w:pPr>
              <w:spacing w:after="0" w:line="0" w:lineRule="atLeast"/>
              <w:jc w:val="both"/>
              <w:rPr>
                <w:rFonts w:ascii="华文楷体" w:hAnsi="华文楷体" w:eastAsia="华文楷体" w:cs="Arial"/>
                <w:color w:val="000000"/>
                <w:szCs w:val="21"/>
                <w:lang w:eastAsia="zh-CN"/>
              </w:rPr>
            </w:pPr>
            <w:r>
              <w:rPr>
                <w:rFonts w:hint="eastAsia" w:eastAsia="仿宋" w:cs="Arial" w:asciiTheme="minorHAnsi" w:hAnsiTheme="minorHAnsi"/>
                <w:b/>
                <w:color w:val="000000"/>
                <w:sz w:val="21"/>
                <w:szCs w:val="21"/>
                <w:lang w:eastAsia="zh-CN"/>
              </w:rPr>
              <w:t>谨提请本资产评估报告摘要之使用者和阅读者注意</w:t>
            </w:r>
            <w:r>
              <w:rPr>
                <w:rFonts w:hint="eastAsia" w:eastAsia="仿宋" w:cs="Arial" w:asciiTheme="minorHAnsi" w:hAnsiTheme="minorHAnsi"/>
                <w:color w:val="000000"/>
                <w:sz w:val="21"/>
                <w:szCs w:val="21"/>
                <w:lang w:eastAsia="zh-CN"/>
              </w:rPr>
              <w:t>：本资产评估报告摘要之内容摘自资产评估报告正文，欲了解本评估项目的详细情况和合理理解评估结论，应当详细阅读资产评估报告全文。</w:t>
            </w:r>
          </w:p>
        </w:tc>
      </w:tr>
    </w:tbl>
    <w:p>
      <w:pPr>
        <w:widowControl w:val="0"/>
        <w:spacing w:before="156" w:beforeLines="50" w:after="0" w:line="240" w:lineRule="auto"/>
        <w:ind w:firstLine="504" w:firstLineChars="200"/>
        <w:jc w:val="both"/>
        <w:rPr>
          <w:rFonts w:ascii="Calibri" w:hAnsi="Calibri" w:eastAsia="仿宋"/>
          <w:sz w:val="24"/>
          <w:szCs w:val="24"/>
          <w:lang w:eastAsia="zh-CN"/>
        </w:rPr>
      </w:pPr>
      <w:r>
        <w:rPr>
          <w:rFonts w:hint="eastAsia" w:ascii="Calibri" w:hAnsi="Calibri" w:eastAsia="仿宋"/>
          <w:spacing w:val="6"/>
          <w:sz w:val="24"/>
          <w:szCs w:val="24"/>
          <w:lang w:eastAsia="zh-CN"/>
        </w:rPr>
        <w:t>深圳市鹏信资产评估土地房地产估价有限公司接受曲靖市麒麟区自然资源局</w:t>
      </w:r>
      <w:r>
        <w:rPr>
          <w:rFonts w:hint="eastAsia" w:ascii="Calibri" w:hAnsi="Calibri" w:eastAsia="仿宋"/>
          <w:spacing w:val="6"/>
          <w:sz w:val="24"/>
          <w:szCs w:val="24"/>
          <w:lang w:val="en-US" w:eastAsia="zh-CN"/>
        </w:rPr>
        <w:t>的委托</w:t>
      </w:r>
      <w:r>
        <w:rPr>
          <w:rFonts w:hint="eastAsia" w:ascii="Calibri" w:hAnsi="Calibri" w:eastAsia="仿宋"/>
          <w:spacing w:val="6"/>
          <w:sz w:val="24"/>
          <w:szCs w:val="24"/>
          <w:lang w:eastAsia="zh-CN"/>
        </w:rPr>
        <w:t>，就曲靖市麒麟区自然资源局拟对麒麟区东山青源采石场采矿权进行竞争性出让之经济行为所涉及的麒麟区东山青源采石场采矿权涉矿相关资产</w:t>
      </w:r>
      <w:r>
        <w:rPr>
          <w:rFonts w:hint="eastAsia" w:ascii="仿宋" w:hAnsi="仿宋" w:eastAsia="仿宋"/>
          <w:spacing w:val="6"/>
          <w:sz w:val="24"/>
          <w:szCs w:val="24"/>
          <w:lang w:eastAsia="zh-CN"/>
        </w:rPr>
        <w:t>在评估基准日的市场价值进行了评估</w:t>
      </w:r>
      <w:r>
        <w:rPr>
          <w:rFonts w:hint="eastAsia" w:ascii="Calibri" w:hAnsi="Calibri" w:eastAsia="仿宋"/>
          <w:spacing w:val="6"/>
          <w:sz w:val="24"/>
          <w:szCs w:val="24"/>
          <w:lang w:eastAsia="zh-CN"/>
        </w:rPr>
        <w:t>，现将评估报告正文的相关内容摘要如下：</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一、评估目的：</w:t>
      </w:r>
      <w:r>
        <w:rPr>
          <w:rFonts w:hint="eastAsia" w:ascii="Calibri" w:hAnsi="Calibri" w:eastAsia="仿宋"/>
          <w:spacing w:val="6"/>
          <w:sz w:val="24"/>
          <w:szCs w:val="24"/>
          <w:lang w:eastAsia="zh-CN"/>
        </w:rPr>
        <w:t>曲靖市麒麟区自然资源局</w:t>
      </w:r>
      <w:r>
        <w:rPr>
          <w:rFonts w:hint="eastAsia" w:ascii="Calibri" w:hAnsi="Calibri" w:eastAsia="仿宋"/>
          <w:sz w:val="24"/>
          <w:szCs w:val="24"/>
          <w:lang w:eastAsia="zh-CN"/>
        </w:rPr>
        <w:t>拟对“麒麟区东山青源采石场采矿权”进行竞争性出让，为此，</w:t>
      </w:r>
      <w:r>
        <w:rPr>
          <w:rFonts w:hint="eastAsia" w:ascii="Calibri" w:hAnsi="Calibri" w:eastAsia="仿宋"/>
          <w:spacing w:val="6"/>
          <w:sz w:val="24"/>
          <w:szCs w:val="24"/>
          <w:lang w:eastAsia="zh-CN"/>
        </w:rPr>
        <w:t>曲靖市麒麟区自然资源局</w:t>
      </w:r>
      <w:r>
        <w:rPr>
          <w:rFonts w:hint="eastAsia" w:ascii="Calibri" w:hAnsi="Calibri" w:eastAsia="仿宋"/>
          <w:sz w:val="24"/>
          <w:szCs w:val="24"/>
          <w:lang w:eastAsia="zh-CN"/>
        </w:rPr>
        <w:t>委托深圳市鹏信资产评估土地房地产估价有限公司对此经济行为涉及的麒麟区东山青源采石场采矿权涉矿相关资产的价值进行评估，为上述经济行为提供价值参考。</w:t>
      </w:r>
    </w:p>
    <w:p>
      <w:pPr>
        <w:widowControl w:val="0"/>
        <w:spacing w:before="156" w:beforeLines="50" w:after="0" w:line="240" w:lineRule="auto"/>
        <w:ind w:firstLine="480" w:firstLineChars="200"/>
        <w:jc w:val="both"/>
        <w:rPr>
          <w:rFonts w:ascii="仿宋" w:hAnsi="仿宋" w:eastAsia="仿宋"/>
          <w:sz w:val="24"/>
          <w:lang w:eastAsia="zh-CN"/>
        </w:rPr>
      </w:pPr>
      <w:r>
        <w:rPr>
          <w:rFonts w:hint="eastAsia" w:ascii="Calibri" w:hAnsi="Calibri" w:eastAsia="仿宋"/>
          <w:sz w:val="24"/>
          <w:szCs w:val="24"/>
          <w:lang w:eastAsia="zh-CN"/>
        </w:rPr>
        <w:t>二、评估对象：麒麟区东山青源采石场采矿权涉矿相关资产</w:t>
      </w:r>
      <w:r>
        <w:rPr>
          <w:rFonts w:hint="eastAsia" w:ascii="仿宋" w:hAnsi="仿宋" w:eastAsia="仿宋"/>
          <w:sz w:val="24"/>
          <w:highlight w:val="none"/>
          <w:lang w:eastAsia="zh-CN"/>
        </w:rPr>
        <w:t>;</w:t>
      </w:r>
      <w:r>
        <w:rPr>
          <w:rFonts w:hint="eastAsia" w:ascii="仿宋" w:hAnsi="仿宋" w:eastAsia="仿宋"/>
          <w:sz w:val="24"/>
          <w:lang w:eastAsia="zh-CN"/>
        </w:rPr>
        <w:t>评估范围：</w:t>
      </w:r>
      <w:r>
        <w:rPr>
          <w:rFonts w:hint="eastAsia" w:ascii="仿宋" w:hAnsi="仿宋" w:eastAsia="仿宋"/>
          <w:sz w:val="24"/>
          <w:lang w:val="en-US" w:eastAsia="zh-CN"/>
        </w:rPr>
        <w:t>曲靖市麒麟区东山青源采石场</w:t>
      </w:r>
      <w:r>
        <w:rPr>
          <w:rFonts w:hint="eastAsia" w:ascii="仿宋" w:hAnsi="仿宋" w:eastAsia="仿宋"/>
          <w:sz w:val="24"/>
          <w:lang w:eastAsia="zh-CN"/>
        </w:rPr>
        <w:t>持有的房屋类建筑物、构筑物类建筑物、机械类设备、</w:t>
      </w:r>
      <w:r>
        <w:rPr>
          <w:rFonts w:hint="eastAsia" w:ascii="仿宋" w:hAnsi="仿宋" w:eastAsia="仿宋"/>
          <w:sz w:val="24"/>
          <w:lang w:val="en-US" w:eastAsia="zh-CN"/>
        </w:rPr>
        <w:t>长期待摊费用</w:t>
      </w:r>
      <w:r>
        <w:rPr>
          <w:rFonts w:hint="eastAsia" w:ascii="仿宋" w:hAnsi="仿宋" w:eastAsia="仿宋"/>
          <w:sz w:val="24"/>
          <w:lang w:eastAsia="zh-CN"/>
        </w:rPr>
        <w:t>等涉矿相关资产，详见评估明细表。</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三、评估基准日：202</w:t>
      </w:r>
      <w:r>
        <w:rPr>
          <w:rFonts w:hint="eastAsia" w:ascii="Calibri" w:hAnsi="Calibri" w:eastAsia="仿宋"/>
          <w:sz w:val="24"/>
          <w:szCs w:val="24"/>
          <w:lang w:val="en-US" w:eastAsia="zh-CN"/>
        </w:rPr>
        <w:t>2</w:t>
      </w:r>
      <w:r>
        <w:rPr>
          <w:rFonts w:hint="eastAsia" w:ascii="Calibri" w:hAnsi="Calibri" w:eastAsia="仿宋"/>
          <w:sz w:val="24"/>
          <w:szCs w:val="24"/>
          <w:lang w:eastAsia="zh-CN"/>
        </w:rPr>
        <w:t>年</w:t>
      </w:r>
      <w:r>
        <w:rPr>
          <w:rFonts w:hint="eastAsia" w:ascii="Calibri" w:hAnsi="Calibri" w:eastAsia="仿宋"/>
          <w:sz w:val="24"/>
          <w:szCs w:val="24"/>
          <w:lang w:val="en-US" w:eastAsia="zh-CN"/>
        </w:rPr>
        <w:t>04</w:t>
      </w:r>
      <w:r>
        <w:rPr>
          <w:rFonts w:hint="eastAsia" w:ascii="Calibri" w:hAnsi="Calibri" w:eastAsia="仿宋"/>
          <w:sz w:val="24"/>
          <w:szCs w:val="24"/>
          <w:lang w:eastAsia="zh-CN"/>
        </w:rPr>
        <w:t>月3</w:t>
      </w:r>
      <w:r>
        <w:rPr>
          <w:rFonts w:hint="eastAsia" w:ascii="Calibri" w:hAnsi="Calibri" w:eastAsia="仿宋"/>
          <w:sz w:val="24"/>
          <w:szCs w:val="24"/>
          <w:lang w:val="en-US" w:eastAsia="zh-CN"/>
        </w:rPr>
        <w:t>0</w:t>
      </w:r>
      <w:r>
        <w:rPr>
          <w:rFonts w:hint="eastAsia" w:ascii="Calibri" w:hAnsi="Calibri" w:eastAsia="仿宋"/>
          <w:sz w:val="24"/>
          <w:szCs w:val="24"/>
          <w:lang w:eastAsia="zh-CN"/>
        </w:rPr>
        <w:t>日。</w:t>
      </w:r>
    </w:p>
    <w:p>
      <w:pPr>
        <w:widowControl w:val="0"/>
        <w:spacing w:before="156" w:beforeLines="50" w:after="0" w:line="240" w:lineRule="auto"/>
        <w:ind w:firstLine="480" w:firstLineChars="200"/>
        <w:jc w:val="both"/>
        <w:rPr>
          <w:rFonts w:hint="default" w:ascii="Calibri" w:hAnsi="Calibri" w:eastAsia="仿宋"/>
          <w:sz w:val="24"/>
          <w:szCs w:val="24"/>
          <w:lang w:val="en-US" w:eastAsia="zh-CN"/>
        </w:rPr>
      </w:pPr>
      <w:r>
        <w:rPr>
          <w:rFonts w:hint="eastAsia" w:ascii="Calibri" w:hAnsi="Calibri" w:eastAsia="仿宋"/>
          <w:sz w:val="24"/>
          <w:szCs w:val="24"/>
          <w:lang w:eastAsia="zh-CN"/>
        </w:rPr>
        <w:t>四、价值类型：市场价值。</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五、评估方法：本次评估根据涉矿相关资产的具体情况采用成本法进行评估，并对涉矿相关资产的评估结果进行汇总，以此确定市场价值。</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六、评估结论：</w:t>
      </w:r>
    </w:p>
    <w:p>
      <w:pPr>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采用成本法评估</w:t>
      </w:r>
      <w:r>
        <w:rPr>
          <w:rFonts w:hint="eastAsia" w:ascii="Calibri" w:hAnsi="Calibri" w:eastAsia="仿宋"/>
          <w:spacing w:val="6"/>
          <w:sz w:val="24"/>
          <w:szCs w:val="24"/>
          <w:lang w:eastAsia="zh-CN"/>
        </w:rPr>
        <w:t>曲靖市麒麟区自然资源局</w:t>
      </w:r>
      <w:r>
        <w:rPr>
          <w:rFonts w:hint="eastAsia" w:ascii="Calibri" w:hAnsi="Calibri" w:eastAsia="仿宋"/>
          <w:sz w:val="24"/>
          <w:szCs w:val="24"/>
          <w:lang w:eastAsia="zh-CN"/>
        </w:rPr>
        <w:t>拟对“</w:t>
      </w:r>
      <w:r>
        <w:rPr>
          <w:rFonts w:hint="eastAsia" w:ascii="Calibri" w:hAnsi="Calibri" w:eastAsia="仿宋"/>
          <w:spacing w:val="6"/>
          <w:sz w:val="24"/>
          <w:szCs w:val="24"/>
          <w:lang w:eastAsia="zh-CN"/>
        </w:rPr>
        <w:t>麒麟区东山青源采石场采矿权</w:t>
      </w:r>
      <w:r>
        <w:rPr>
          <w:rFonts w:hint="eastAsia" w:ascii="Calibri" w:hAnsi="Calibri" w:eastAsia="仿宋"/>
          <w:sz w:val="24"/>
          <w:szCs w:val="24"/>
          <w:lang w:eastAsia="zh-CN"/>
        </w:rPr>
        <w:t>”进行竞争性出让</w:t>
      </w:r>
      <w:r>
        <w:rPr>
          <w:rFonts w:hint="eastAsia" w:ascii="Calibri" w:hAnsi="Calibri" w:eastAsia="仿宋"/>
          <w:sz w:val="24"/>
          <w:szCs w:val="24"/>
          <w:lang w:val="en-US" w:eastAsia="zh-CN"/>
        </w:rPr>
        <w:t>之经济行为</w:t>
      </w:r>
      <w:r>
        <w:rPr>
          <w:rFonts w:hint="eastAsia" w:ascii="Calibri" w:hAnsi="Calibri" w:eastAsia="仿宋"/>
          <w:sz w:val="24"/>
          <w:szCs w:val="24"/>
          <w:lang w:eastAsia="zh-CN"/>
        </w:rPr>
        <w:t>所涉及的</w:t>
      </w:r>
      <w:r>
        <w:rPr>
          <w:rFonts w:hint="eastAsia" w:ascii="Calibri" w:hAnsi="Calibri" w:eastAsia="仿宋"/>
          <w:spacing w:val="6"/>
          <w:sz w:val="24"/>
          <w:szCs w:val="24"/>
          <w:lang w:eastAsia="zh-CN"/>
        </w:rPr>
        <w:t>麒麟区东山青源采石场</w:t>
      </w:r>
      <w:r>
        <w:rPr>
          <w:rFonts w:hint="eastAsia" w:ascii="Calibri" w:hAnsi="Calibri" w:eastAsia="仿宋"/>
          <w:spacing w:val="6"/>
          <w:sz w:val="24"/>
          <w:szCs w:val="24"/>
          <w:highlight w:val="none"/>
          <w:lang w:eastAsia="zh-CN"/>
        </w:rPr>
        <w:t>采矿权</w:t>
      </w:r>
      <w:r>
        <w:rPr>
          <w:rFonts w:hint="eastAsia" w:ascii="Calibri" w:hAnsi="Calibri" w:eastAsia="仿宋"/>
          <w:sz w:val="24"/>
          <w:szCs w:val="24"/>
          <w:highlight w:val="none"/>
          <w:lang w:eastAsia="zh-CN"/>
        </w:rPr>
        <w:t>涉矿相关资产市场价值于评估基准日的评估值为：</w:t>
      </w:r>
      <w:r>
        <w:rPr>
          <w:rFonts w:hint="eastAsia" w:eastAsia="仿宋" w:asciiTheme="minorHAnsi" w:hAnsiTheme="minorHAnsi"/>
          <w:sz w:val="24"/>
          <w:szCs w:val="24"/>
          <w:highlight w:val="none"/>
          <w:lang w:eastAsia="zh-CN"/>
        </w:rPr>
        <w:t>2,531.40万元人民币(大写：人民币【</w:t>
      </w:r>
      <w:r>
        <w:rPr>
          <w:rFonts w:hint="eastAsia" w:eastAsia="仿宋" w:asciiTheme="minorHAnsi" w:hAnsiTheme="minorHAnsi"/>
          <w:sz w:val="24"/>
          <w:szCs w:val="24"/>
          <w:highlight w:val="none"/>
          <w:lang w:val="en-US" w:eastAsia="zh-CN"/>
        </w:rPr>
        <w:t>贰仟伍佰叁拾壹万肆仟</w:t>
      </w:r>
      <w:r>
        <w:rPr>
          <w:rFonts w:hint="eastAsia" w:eastAsia="仿宋" w:asciiTheme="minorHAnsi" w:hAnsiTheme="minorHAnsi"/>
          <w:sz w:val="24"/>
          <w:szCs w:val="24"/>
          <w:highlight w:val="none"/>
          <w:lang w:eastAsia="zh-CN"/>
        </w:rPr>
        <w:t>】元整)</w:t>
      </w:r>
      <w:r>
        <w:rPr>
          <w:rFonts w:hint="eastAsia" w:ascii="Calibri" w:hAnsi="Calibri" w:eastAsia="仿宋"/>
          <w:sz w:val="24"/>
          <w:szCs w:val="24"/>
          <w:highlight w:val="none"/>
          <w:lang w:eastAsia="zh-CN"/>
        </w:rPr>
        <w:t>。</w:t>
      </w:r>
    </w:p>
    <w:p>
      <w:pPr>
        <w:spacing w:before="156" w:beforeLines="50" w:after="0" w:line="240" w:lineRule="auto"/>
        <w:ind w:firstLine="480" w:firstLineChars="200"/>
        <w:jc w:val="both"/>
        <w:rPr>
          <w:rFonts w:hint="eastAsia" w:ascii="Calibri" w:hAnsi="Calibri" w:eastAsia="仿宋"/>
          <w:sz w:val="24"/>
          <w:szCs w:val="24"/>
          <w:lang w:eastAsia="zh-CN"/>
        </w:rPr>
      </w:pPr>
      <w:r>
        <w:rPr>
          <w:rFonts w:hint="eastAsia" w:ascii="Calibri" w:hAnsi="Calibri" w:eastAsia="仿宋"/>
          <w:sz w:val="24"/>
          <w:szCs w:val="24"/>
          <w:lang w:eastAsia="zh-CN"/>
        </w:rPr>
        <w:t>评估结论使用有效期：通常情况下，评估结论的使用有效期自评估基准日202</w:t>
      </w:r>
      <w:r>
        <w:rPr>
          <w:rFonts w:hint="eastAsia" w:ascii="Calibri" w:hAnsi="Calibri" w:eastAsia="仿宋"/>
          <w:sz w:val="24"/>
          <w:szCs w:val="24"/>
          <w:lang w:val="en-US" w:eastAsia="zh-CN"/>
        </w:rPr>
        <w:t>2</w:t>
      </w:r>
      <w:r>
        <w:rPr>
          <w:rFonts w:hint="eastAsia" w:ascii="Calibri" w:hAnsi="Calibri" w:eastAsia="仿宋"/>
          <w:sz w:val="24"/>
          <w:szCs w:val="24"/>
          <w:lang w:eastAsia="zh-CN"/>
        </w:rPr>
        <w:t>年</w:t>
      </w:r>
      <w:r>
        <w:rPr>
          <w:rFonts w:hint="eastAsia" w:ascii="Calibri" w:hAnsi="Calibri" w:eastAsia="仿宋"/>
          <w:sz w:val="24"/>
          <w:szCs w:val="24"/>
          <w:lang w:val="en-US" w:eastAsia="zh-CN"/>
        </w:rPr>
        <w:t>04</w:t>
      </w:r>
      <w:r>
        <w:rPr>
          <w:rFonts w:hint="eastAsia" w:ascii="Calibri" w:hAnsi="Calibri" w:eastAsia="仿宋"/>
          <w:sz w:val="24"/>
          <w:szCs w:val="24"/>
          <w:lang w:eastAsia="zh-CN"/>
        </w:rPr>
        <w:t>月3</w:t>
      </w:r>
      <w:r>
        <w:rPr>
          <w:rFonts w:hint="eastAsia" w:ascii="Calibri" w:hAnsi="Calibri" w:eastAsia="仿宋"/>
          <w:sz w:val="24"/>
          <w:szCs w:val="24"/>
          <w:lang w:val="en-US" w:eastAsia="zh-CN"/>
        </w:rPr>
        <w:t>0</w:t>
      </w:r>
      <w:r>
        <w:rPr>
          <w:rFonts w:hint="eastAsia" w:ascii="Calibri" w:hAnsi="Calibri" w:eastAsia="仿宋"/>
          <w:sz w:val="24"/>
          <w:szCs w:val="24"/>
          <w:lang w:eastAsia="zh-CN"/>
        </w:rPr>
        <w:t>日至202</w:t>
      </w:r>
      <w:r>
        <w:rPr>
          <w:rFonts w:hint="eastAsia" w:ascii="Calibri" w:hAnsi="Calibri" w:eastAsia="仿宋"/>
          <w:sz w:val="24"/>
          <w:szCs w:val="24"/>
          <w:lang w:val="en-US" w:eastAsia="zh-CN"/>
        </w:rPr>
        <w:t>3</w:t>
      </w:r>
      <w:r>
        <w:rPr>
          <w:rFonts w:hint="eastAsia" w:ascii="Calibri" w:hAnsi="Calibri" w:eastAsia="仿宋"/>
          <w:sz w:val="24"/>
          <w:szCs w:val="24"/>
          <w:lang w:eastAsia="zh-CN"/>
        </w:rPr>
        <w:t>年</w:t>
      </w:r>
      <w:r>
        <w:rPr>
          <w:rFonts w:hint="eastAsia" w:ascii="Calibri" w:hAnsi="Calibri" w:eastAsia="仿宋"/>
          <w:sz w:val="24"/>
          <w:szCs w:val="24"/>
          <w:lang w:val="en-US" w:eastAsia="zh-CN"/>
        </w:rPr>
        <w:t>04</w:t>
      </w:r>
      <w:r>
        <w:rPr>
          <w:rFonts w:hint="eastAsia" w:ascii="Calibri" w:hAnsi="Calibri" w:eastAsia="仿宋"/>
          <w:sz w:val="24"/>
          <w:szCs w:val="24"/>
          <w:lang w:eastAsia="zh-CN"/>
        </w:rPr>
        <w:t>月</w:t>
      </w:r>
      <w:r>
        <w:rPr>
          <w:rFonts w:hint="eastAsia" w:ascii="Calibri" w:hAnsi="Calibri" w:eastAsia="仿宋"/>
          <w:sz w:val="24"/>
          <w:szCs w:val="24"/>
          <w:lang w:val="en-US" w:eastAsia="zh-CN"/>
        </w:rPr>
        <w:t>29</w:t>
      </w:r>
      <w:r>
        <w:rPr>
          <w:rFonts w:hint="eastAsia" w:ascii="Calibri" w:hAnsi="Calibri" w:eastAsia="仿宋"/>
          <w:sz w:val="24"/>
          <w:szCs w:val="24"/>
          <w:lang w:eastAsia="zh-CN"/>
        </w:rPr>
        <w:t>日止。</w:t>
      </w:r>
    </w:p>
    <w:p>
      <w:pPr>
        <w:widowControl w:val="0"/>
        <w:spacing w:before="156" w:beforeLines="50" w:after="0" w:line="240" w:lineRule="auto"/>
        <w:ind w:firstLine="480" w:firstLineChars="200"/>
        <w:jc w:val="both"/>
        <w:rPr>
          <w:rFonts w:hint="eastAsia" w:eastAsia="仿宋" w:asciiTheme="minorHAnsi" w:hAnsiTheme="minorHAnsi"/>
          <w:b w:val="0"/>
          <w:bCs/>
          <w:sz w:val="24"/>
          <w:szCs w:val="24"/>
          <w:lang w:val="en-US" w:eastAsia="zh-CN"/>
        </w:rPr>
      </w:pPr>
      <w:r>
        <w:rPr>
          <w:rFonts w:hint="eastAsia" w:ascii="Calibri" w:hAnsi="Calibri" w:eastAsia="仿宋"/>
          <w:sz w:val="24"/>
          <w:szCs w:val="24"/>
          <w:lang w:val="en-US" w:eastAsia="zh-CN"/>
        </w:rPr>
        <w:t>七、特别事项说明：</w:t>
      </w:r>
    </w:p>
    <w:p>
      <w:pPr>
        <w:pStyle w:val="2"/>
        <w:rPr>
          <w:rFonts w:ascii="Calibri" w:hAnsi="Calibri" w:eastAsia="仿宋"/>
          <w:sz w:val="24"/>
          <w:szCs w:val="24"/>
          <w:lang w:eastAsia="zh-CN"/>
        </w:rPr>
      </w:pPr>
      <w:r>
        <w:rPr>
          <w:rFonts w:hint="eastAsia" w:eastAsia="仿宋" w:asciiTheme="minorHAnsi" w:hAnsiTheme="minorHAnsi"/>
          <w:b w:val="0"/>
          <w:bCs/>
          <w:sz w:val="24"/>
          <w:szCs w:val="24"/>
          <w:highlight w:val="none"/>
          <w:lang w:val="en-US" w:eastAsia="zh-CN"/>
        </w:rPr>
        <w:t>因建设绿色矿山的需要，产权持有单位拟建设采石场石料生产线防尘大棚，并于2022年6月25日与云南人顺商贸有限责任公司签订材料销售合同，支付价款26万元，则包含上述费用后，麒麟区东山青源采石场采矿权涉矿相关资产市场价值合计为2,557.40万元人民币(大写：人民币【贰仟伍佰伍拾柒万肆仟】元整)。</w:t>
      </w:r>
    </w:p>
    <w:p>
      <w:pPr>
        <w:pStyle w:val="2"/>
        <w:rPr>
          <w:rFonts w:hint="eastAsia" w:eastAsia="仿宋" w:asciiTheme="minorHAnsi" w:hAnsiTheme="minorHAnsi"/>
          <w:b w:val="0"/>
          <w:bCs/>
          <w:sz w:val="24"/>
          <w:szCs w:val="24"/>
          <w:highlight w:val="none"/>
          <w:lang w:val="en-US" w:eastAsia="zh-CN"/>
        </w:rPr>
        <w:sectPr>
          <w:headerReference r:id="rId3" w:type="default"/>
          <w:footerReference r:id="rId4" w:type="default"/>
          <w:pgSz w:w="11906" w:h="16838"/>
          <w:pgMar w:top="1560" w:right="1800" w:bottom="1276" w:left="1800" w:header="426" w:footer="340" w:gutter="0"/>
          <w:pgNumType w:start="1"/>
          <w:cols w:space="425" w:num="1"/>
          <w:docGrid w:type="lines" w:linePitch="312" w:charSpace="0"/>
        </w:sectPr>
      </w:pPr>
    </w:p>
    <w:p>
      <w:pPr>
        <w:pStyle w:val="2"/>
        <w:rPr>
          <w:rFonts w:hint="eastAsia" w:eastAsia="仿宋" w:asciiTheme="minorHAnsi" w:hAnsiTheme="minorHAnsi"/>
          <w:b w:val="0"/>
          <w:bCs/>
          <w:sz w:val="24"/>
          <w:szCs w:val="24"/>
          <w:highlight w:val="none"/>
          <w:lang w:val="en-US" w:eastAsia="zh-CN"/>
        </w:rPr>
      </w:pPr>
      <w:r>
        <w:rPr>
          <w:rFonts w:hint="eastAsia" w:eastAsia="仿宋" w:asciiTheme="minorHAnsi" w:hAnsiTheme="minorHAnsi"/>
          <w:b w:val="0"/>
          <w:bCs/>
          <w:sz w:val="24"/>
          <w:szCs w:val="24"/>
          <w:highlight w:val="none"/>
          <w:lang w:val="en-US" w:eastAsia="zh-CN"/>
        </w:rPr>
        <w:t>本次委估的涉矿相关资产，我们进行了必要的核实，但未能收集到涉矿相关资产的合同、发票、付款凭证等原始权属依据。对此产权持有单位出具了承诺函及权属声明书，承诺对所提供的委估资产的法律权属的真实性、合法性和完整性承担责任。在此基础上资产评估师对评估对象的价值进行估算并发表专业意见，但不对法律权属作任何形式的保证，亦不承担验证评估对象法律权属资料的真实性、合法性和完整性的责任。谨提请评估报告使用人注意。</w:t>
      </w:r>
    </w:p>
    <w:p>
      <w:pPr>
        <w:widowControl w:val="0"/>
        <w:spacing w:before="156" w:beforeLines="50" w:after="0" w:line="240" w:lineRule="auto"/>
        <w:ind w:firstLine="482" w:firstLineChars="200"/>
        <w:jc w:val="both"/>
      </w:pPr>
      <w:r>
        <w:rPr>
          <w:rFonts w:hint="eastAsia" w:ascii="Calibri" w:hAnsi="Calibri" w:eastAsia="仿宋"/>
          <w:b/>
          <w:bCs/>
          <w:sz w:val="24"/>
          <w:szCs w:val="24"/>
          <w:lang w:eastAsia="zh-CN"/>
        </w:rPr>
        <w:t>谨提请本资产评估报告使用人注意：以上内容摘自资产评估报告正文，欲了解本评估业务的详细情况和正确理解评估结论，应当阅读资产评估报告正文。</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长城楷体">
    <w:altName w:val="宋体"/>
    <w:panose1 w:val="02010609000101010101"/>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auto" w:sz="6" w:space="7"/>
      </w:pBdr>
      <w:jc w:val="both"/>
      <w:rPr>
        <w:rFonts w:eastAsia="华文仿宋" w:asciiTheme="minorHAnsi" w:hAnsiTheme="minorHAnsi"/>
        <w:lang w:eastAsia="zh-CN"/>
      </w:rPr>
    </w:pPr>
    <w:r>
      <w:rPr>
        <w:rFonts w:eastAsia="华文仿宋" w:asciiTheme="minorHAnsi" w:hAnsiTheme="minorHAnsi"/>
        <w:lang w:eastAsia="zh-CN"/>
      </w:rPr>
      <w:t>©</w:t>
    </w:r>
    <w:r>
      <w:rPr>
        <w:rFonts w:hint="eastAsia" w:eastAsia="华文仿宋" w:asciiTheme="minorHAnsi" w:hAnsiTheme="minorHAnsi"/>
        <w:lang w:eastAsia="zh-CN"/>
      </w:rPr>
      <w:t xml:space="preserve">深圳市鹏信资产评估土地房地产估价有限公司                                               </w:t>
    </w:r>
    <w:r>
      <w:rPr>
        <w:rFonts w:hint="eastAsia" w:ascii="Calibri" w:hAnsi="Calibri" w:eastAsia="华文仿宋"/>
        <w:lang w:eastAsia="zh-CN"/>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auto" w:sz="6" w:space="7"/>
      </w:pBdr>
      <w:jc w:val="both"/>
      <w:rPr>
        <w:rFonts w:eastAsia="华文仿宋" w:asciiTheme="minorHAnsi" w:hAnsiTheme="minorHAnsi"/>
        <w:lang w:eastAsia="zh-CN"/>
      </w:rPr>
    </w:pPr>
    <w:r>
      <w:rPr>
        <w:rFonts w:eastAsia="华文仿宋" w:asciiTheme="minorHAnsi" w:hAnsiTheme="minorHAnsi"/>
        <w:lang w:eastAsia="zh-CN"/>
      </w:rPr>
      <w:t>©</w:t>
    </w:r>
    <w:r>
      <w:rPr>
        <w:rFonts w:hint="eastAsia" w:eastAsia="华文仿宋" w:asciiTheme="minorHAnsi" w:hAnsiTheme="minorHAnsi"/>
        <w:lang w:eastAsia="zh-CN"/>
      </w:rPr>
      <w:t xml:space="preserve">深圳市鹏信资产评估土地房地产估价有限公司                                               </w:t>
    </w:r>
    <w:r>
      <w:rPr>
        <w:rFonts w:hint="eastAsia" w:ascii="Calibri" w:hAnsi="Calibri" w:eastAsia="华文仿宋"/>
        <w:lang w:val="en-US" w:eastAsia="zh-CN"/>
      </w:rPr>
      <w:t>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8522" w:type="dxa"/>
      <w:tblInd w:w="0" w:type="dxa"/>
      <w:tblLayout w:type="fixed"/>
      <w:tblCellMar>
        <w:top w:w="0" w:type="dxa"/>
        <w:left w:w="108" w:type="dxa"/>
        <w:bottom w:w="0" w:type="dxa"/>
        <w:right w:w="108" w:type="dxa"/>
      </w:tblCellMar>
    </w:tblPr>
    <w:tblGrid>
      <w:gridCol w:w="1096"/>
      <w:gridCol w:w="7426"/>
    </w:tblGrid>
    <w:tr>
      <w:tblPrEx>
        <w:tblLayout w:type="fixed"/>
        <w:tblCellMar>
          <w:top w:w="0" w:type="dxa"/>
          <w:left w:w="108" w:type="dxa"/>
          <w:bottom w:w="0" w:type="dxa"/>
          <w:right w:w="108" w:type="dxa"/>
        </w:tblCellMar>
      </w:tblPrEx>
      <w:tc>
        <w:tcPr>
          <w:tcW w:w="1096" w:type="dxa"/>
          <w:vMerge w:val="restart"/>
          <w:vAlign w:val="center"/>
        </w:tcPr>
        <w:p>
          <w:pPr>
            <w:pStyle w:val="4"/>
            <w:pBdr>
              <w:bottom w:val="none" w:color="auto" w:sz="0" w:space="0"/>
            </w:pBdr>
            <w:spacing w:after="0" w:line="0" w:lineRule="atLeast"/>
            <w:jc w:val="left"/>
            <w:rPr>
              <w:rFonts w:ascii="Calibri" w:hAnsi="Calibri" w:eastAsia="华文中宋"/>
              <w:sz w:val="15"/>
            </w:rPr>
          </w:pPr>
          <w:r>
            <w:rPr>
              <w:lang w:eastAsia="zh-CN" w:bidi="ar-SA"/>
            </w:rPr>
            <w:drawing>
              <wp:inline distT="0" distB="0" distL="0" distR="0">
                <wp:extent cx="444500" cy="452755"/>
                <wp:effectExtent l="0" t="0" r="12700" b="4445"/>
                <wp:docPr id="3" name="图片 9" descr="鹏信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鹏信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44500" cy="452755"/>
                        </a:xfrm>
                        <a:prstGeom prst="rect">
                          <a:avLst/>
                        </a:prstGeom>
                        <a:noFill/>
                        <a:ln>
                          <a:noFill/>
                        </a:ln>
                      </pic:spPr>
                    </pic:pic>
                  </a:graphicData>
                </a:graphic>
              </wp:inline>
            </w:drawing>
          </w:r>
        </w:p>
      </w:tc>
      <w:tc>
        <w:tcPr>
          <w:tcW w:w="7426" w:type="dxa"/>
        </w:tcPr>
        <w:p>
          <w:pPr>
            <w:pStyle w:val="4"/>
            <w:pBdr>
              <w:bottom w:val="none" w:color="auto" w:sz="0" w:space="0"/>
            </w:pBdr>
            <w:spacing w:after="0" w:line="0" w:lineRule="atLeast"/>
            <w:jc w:val="right"/>
            <w:rPr>
              <w:rFonts w:ascii="Calibri" w:hAnsi="Calibri" w:eastAsia="仿宋"/>
              <w:lang w:eastAsia="zh-CN"/>
            </w:rPr>
          </w:pPr>
          <w:r>
            <w:rPr>
              <w:rFonts w:hint="eastAsia" w:ascii="Calibri" w:hAnsi="Calibri" w:eastAsia="仿宋"/>
              <w:lang w:eastAsia="zh-CN"/>
            </w:rPr>
            <w:t>曲靖市麒麟区自然资源局拟对麒麟区东山青源采石场</w:t>
          </w:r>
          <w:r>
            <w:rPr>
              <w:rFonts w:hint="eastAsia" w:ascii="仿宋" w:hAnsi="仿宋" w:eastAsia="仿宋"/>
              <w:lang w:eastAsia="zh-CN"/>
            </w:rPr>
            <w:t>采矿权</w:t>
          </w:r>
        </w:p>
      </w:tc>
    </w:tr>
    <w:tr>
      <w:tblPrEx>
        <w:tblLayout w:type="fixed"/>
        <w:tblCellMar>
          <w:top w:w="0" w:type="dxa"/>
          <w:left w:w="108" w:type="dxa"/>
          <w:bottom w:w="0" w:type="dxa"/>
          <w:right w:w="108" w:type="dxa"/>
        </w:tblCellMar>
      </w:tblPrEx>
      <w:tc>
        <w:tcPr>
          <w:tcW w:w="1096" w:type="dxa"/>
          <w:vMerge w:val="continue"/>
        </w:tcPr>
        <w:p>
          <w:pPr>
            <w:pStyle w:val="4"/>
            <w:pBdr>
              <w:bottom w:val="none" w:color="auto" w:sz="0" w:space="0"/>
            </w:pBdr>
            <w:spacing w:after="0" w:line="0" w:lineRule="atLeast"/>
            <w:jc w:val="both"/>
            <w:rPr>
              <w:rFonts w:ascii="Calibri" w:hAnsi="Calibri" w:eastAsia="华文中宋"/>
              <w:sz w:val="15"/>
              <w:lang w:eastAsia="zh-CN"/>
            </w:rPr>
          </w:pPr>
        </w:p>
      </w:tc>
      <w:tc>
        <w:tcPr>
          <w:tcW w:w="7426" w:type="dxa"/>
        </w:tcPr>
        <w:p>
          <w:pPr>
            <w:pStyle w:val="4"/>
            <w:pBdr>
              <w:bottom w:val="none" w:color="auto" w:sz="0" w:space="0"/>
            </w:pBdr>
            <w:spacing w:after="0" w:line="0" w:lineRule="atLeast"/>
            <w:jc w:val="right"/>
            <w:rPr>
              <w:rFonts w:ascii="Calibri" w:hAnsi="Calibri" w:eastAsia="仿宋"/>
              <w:lang w:eastAsia="zh-CN"/>
            </w:rPr>
          </w:pPr>
          <w:r>
            <w:rPr>
              <w:rFonts w:hint="eastAsia" w:ascii="仿宋" w:hAnsi="仿宋" w:eastAsia="仿宋"/>
              <w:lang w:eastAsia="zh-CN"/>
            </w:rPr>
            <w:t>进行竞争性出让所涉及的麒麟区东山青源采石场采矿权</w:t>
          </w:r>
        </w:p>
      </w:tc>
    </w:tr>
    <w:tr>
      <w:tblPrEx>
        <w:tblLayout w:type="fixed"/>
        <w:tblCellMar>
          <w:top w:w="0" w:type="dxa"/>
          <w:left w:w="108" w:type="dxa"/>
          <w:bottom w:w="0" w:type="dxa"/>
          <w:right w:w="108" w:type="dxa"/>
        </w:tblCellMar>
      </w:tblPrEx>
      <w:tc>
        <w:tcPr>
          <w:tcW w:w="1096" w:type="dxa"/>
          <w:vMerge w:val="continue"/>
        </w:tcPr>
        <w:p>
          <w:pPr>
            <w:pStyle w:val="4"/>
            <w:pBdr>
              <w:bottom w:val="none" w:color="auto" w:sz="0" w:space="0"/>
            </w:pBdr>
            <w:spacing w:after="0" w:line="0" w:lineRule="atLeast"/>
            <w:jc w:val="both"/>
            <w:rPr>
              <w:rFonts w:ascii="Calibri" w:hAnsi="Calibri" w:eastAsia="华文中宋"/>
              <w:sz w:val="15"/>
              <w:lang w:eastAsia="zh-CN"/>
            </w:rPr>
          </w:pPr>
        </w:p>
      </w:tc>
      <w:tc>
        <w:tcPr>
          <w:tcW w:w="7426" w:type="dxa"/>
        </w:tcPr>
        <w:p>
          <w:pPr>
            <w:pStyle w:val="4"/>
            <w:pBdr>
              <w:bottom w:val="none" w:color="auto" w:sz="0" w:space="0"/>
            </w:pBdr>
            <w:spacing w:after="0" w:line="0" w:lineRule="atLeast"/>
            <w:jc w:val="right"/>
            <w:rPr>
              <w:rFonts w:ascii="Calibri" w:hAnsi="Calibri" w:eastAsia="仿宋"/>
              <w:lang w:eastAsia="zh-CN"/>
            </w:rPr>
          </w:pPr>
          <w:r>
            <w:rPr>
              <w:rFonts w:hint="eastAsia" w:ascii="仿宋" w:hAnsi="仿宋" w:eastAsia="仿宋"/>
              <w:lang w:eastAsia="zh-CN"/>
            </w:rPr>
            <w:t>涉矿相关资产市场价值资产</w:t>
          </w:r>
          <w:r>
            <w:rPr>
              <w:rFonts w:hint="eastAsia" w:ascii="Calibri" w:hAnsi="Calibri" w:eastAsia="仿宋"/>
              <w:lang w:eastAsia="zh-CN"/>
            </w:rPr>
            <w:t>评估报告·摘要</w:t>
          </w:r>
        </w:p>
      </w:tc>
    </w:tr>
  </w:tbl>
  <w:p>
    <w:pPr>
      <w:pStyle w:val="4"/>
      <w:spacing w:after="0" w:line="0" w:lineRule="atLeast"/>
      <w:jc w:val="both"/>
      <w:rPr>
        <w:sz w:val="10"/>
        <w:szCs w:val="10"/>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668B5"/>
    <w:rsid w:val="07833EC1"/>
    <w:rsid w:val="5D952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Cambria" w:hAnsi="Cambria" w:eastAsia="宋体" w:cs="Times New Roman"/>
      <w:sz w:val="22"/>
      <w:szCs w:val="22"/>
      <w:lang w:val="en-US" w:eastAsia="en-US" w:bidi="en-US"/>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unhideWhenUsed/>
    <w:qFormat/>
    <w:uiPriority w:val="99"/>
    <w:pPr>
      <w:autoSpaceDE w:val="0"/>
      <w:autoSpaceDN w:val="0"/>
      <w:adjustRightInd w:val="0"/>
      <w:spacing w:after="180" w:line="400" w:lineRule="atLeast"/>
      <w:ind w:firstLine="420"/>
      <w:jc w:val="left"/>
    </w:pPr>
    <w:rPr>
      <w:rFonts w:ascii="长城楷体" w:hAnsi="Tms Rmn" w:eastAsia="长城楷体"/>
      <w:sz w:val="28"/>
      <w:szCs w:val="20"/>
    </w:rPr>
  </w:style>
  <w:style w:type="paragraph" w:styleId="3">
    <w:name w:val="footer"/>
    <w:basedOn w:val="1"/>
    <w:unhideWhenUsed/>
    <w:qFormat/>
    <w:uiPriority w:val="0"/>
    <w:pPr>
      <w:tabs>
        <w:tab w:val="center" w:pos="4153"/>
        <w:tab w:val="right" w:pos="8306"/>
      </w:tabs>
      <w:snapToGrid w:val="0"/>
      <w:spacing w:line="240" w:lineRule="auto"/>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3923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2022-08-10T07:16:00Z</dcterms:created>
  <dc:creator>杨坤</dc:creator>
  <cp:lastModifiedBy>包华</cp:lastModifiedBy>
  <dcterms:modified xsi:type="dcterms:W3CDTF">2022-08-24T02:32:03Z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