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text" w:horzAnchor="page" w:tblpXSpec="center" w:tblpY="172"/>
        <w:tblOverlap w:val="never"/>
        <w:tblW w:w="9120" w:type="dxa"/>
        <w:jc w:val="center"/>
        <w:tblLayout w:type="fixed"/>
        <w:tblCellMar>
          <w:top w:w="0" w:type="dxa"/>
          <w:left w:w="28" w:type="dxa"/>
          <w:bottom w:w="0" w:type="dxa"/>
          <w:right w:w="28" w:type="dxa"/>
        </w:tblCellMar>
      </w:tblPr>
      <w:tblGrid>
        <w:gridCol w:w="7459"/>
        <w:gridCol w:w="1661"/>
      </w:tblGrid>
      <w:tr>
        <w:tblPrEx>
          <w:tblCellMar>
            <w:top w:w="0" w:type="dxa"/>
            <w:left w:w="28" w:type="dxa"/>
            <w:bottom w:w="0" w:type="dxa"/>
            <w:right w:w="28" w:type="dxa"/>
          </w:tblCellMar>
        </w:tblPrEx>
        <w:trPr>
          <w:trHeight w:val="3210" w:hRule="atLeast"/>
          <w:jc w:val="center"/>
        </w:trPr>
        <w:tc>
          <w:tcPr>
            <w:tcW w:w="7459" w:type="dxa"/>
            <w:noWrap w:val="0"/>
            <w:vAlign w:val="center"/>
          </w:tcPr>
          <w:p>
            <w:pPr>
              <w:spacing w:line="1100" w:lineRule="exact"/>
              <w:jc w:val="distribute"/>
              <w:rPr>
                <w:rFonts w:hint="default" w:ascii="Times New Roman" w:hAnsi="Times New Roman" w:eastAsia="方正小标宋简体" w:cs="Times New Roman"/>
                <w:color w:val="FF0000"/>
                <w:w w:val="50"/>
                <w:sz w:val="84"/>
                <w:szCs w:val="84"/>
              </w:rPr>
            </w:pPr>
            <w:r>
              <w:rPr>
                <w:rFonts w:hint="default" w:ascii="Times New Roman" w:hAnsi="Times New Roman" w:eastAsia="方正小标宋简体" w:cs="Times New Roman"/>
                <w:color w:val="FF0000"/>
                <w:w w:val="50"/>
                <w:sz w:val="84"/>
                <w:szCs w:val="84"/>
              </w:rPr>
              <w:t>曲靖市麒麟区财政局</w:t>
            </w:r>
          </w:p>
          <w:p>
            <w:pPr>
              <w:spacing w:line="1100" w:lineRule="exact"/>
              <w:jc w:val="distribute"/>
              <w:rPr>
                <w:rFonts w:hint="default" w:ascii="Times New Roman" w:hAnsi="Times New Roman" w:eastAsia="方正小标宋简体" w:cs="Times New Roman"/>
                <w:color w:val="FF0000"/>
                <w:w w:val="50"/>
                <w:sz w:val="84"/>
                <w:szCs w:val="84"/>
              </w:rPr>
            </w:pPr>
            <w:r>
              <w:rPr>
                <w:rFonts w:hint="default" w:ascii="Times New Roman" w:hAnsi="Times New Roman" w:eastAsia="方正小标宋简体" w:cs="Times New Roman"/>
                <w:color w:val="FF0000"/>
                <w:w w:val="50"/>
                <w:sz w:val="84"/>
                <w:szCs w:val="84"/>
              </w:rPr>
              <w:t>曲靖市麒麟区民族宗教事务局</w:t>
            </w:r>
          </w:p>
        </w:tc>
        <w:tc>
          <w:tcPr>
            <w:tcW w:w="1661" w:type="dxa"/>
            <w:noWrap w:val="0"/>
            <w:vAlign w:val="center"/>
          </w:tcPr>
          <w:p>
            <w:pPr>
              <w:jc w:val="center"/>
              <w:rPr>
                <w:rFonts w:hint="default" w:ascii="Times New Roman" w:hAnsi="Times New Roman" w:eastAsia="方正小标宋简体" w:cs="Times New Roman"/>
                <w:color w:val="FF0000"/>
                <w:w w:val="66"/>
                <w:sz w:val="84"/>
                <w:szCs w:val="84"/>
              </w:rPr>
            </w:pPr>
            <w:r>
              <w:rPr>
                <w:rFonts w:hint="default" w:ascii="Times New Roman" w:hAnsi="Times New Roman" w:eastAsia="方正小标宋简体" w:cs="Times New Roman"/>
                <w:color w:val="FF0000"/>
                <w:w w:val="66"/>
                <w:sz w:val="84"/>
                <w:szCs w:val="84"/>
              </w:rPr>
              <w:t>文件</w:t>
            </w:r>
          </w:p>
        </w:tc>
      </w:tr>
    </w:tbl>
    <w:p/>
    <w:p>
      <w:pPr>
        <w:jc w:val="both"/>
        <w:rPr>
          <w:rFonts w:hint="default" w:ascii="Times New Roman" w:hAnsi="Times New Roman" w:eastAsia="方正仿宋_GBK" w:cs="Times New Roman"/>
          <w:sz w:val="32"/>
        </w:rPr>
      </w:pPr>
    </w:p>
    <w:p>
      <w:pPr>
        <w:jc w:val="center"/>
        <w:rPr>
          <w:rFonts w:hint="default" w:ascii="Times New Roman" w:hAnsi="Times New Roman" w:eastAsia="方正仿宋_GBK" w:cs="Times New Roman"/>
          <w:sz w:val="32"/>
        </w:rPr>
      </w:pPr>
      <w:r>
        <w:rPr>
          <w:rFonts w:hint="default" w:ascii="Times New Roman" w:hAnsi="Times New Roman" w:eastAsia="方正仿宋_GBK" w:cs="Times New Roman"/>
          <w:sz w:val="32"/>
        </w:rPr>
        <w:t>麒</w:t>
      </w:r>
      <w:r>
        <w:rPr>
          <w:rFonts w:hint="default" w:ascii="Times New Roman" w:hAnsi="Times New Roman" w:eastAsia="方正仿宋_GBK" w:cs="Times New Roman"/>
          <w:sz w:val="32"/>
          <w:lang w:eastAsia="zh-CN"/>
        </w:rPr>
        <w:t>财农</w:t>
      </w:r>
      <w:r>
        <w:rPr>
          <w:rFonts w:hint="default" w:ascii="Times New Roman" w:hAnsi="Times New Roman" w:eastAsia="方正仿宋_GBK" w:cs="Times New Roman"/>
          <w:sz w:val="32"/>
        </w:rPr>
        <w:t>〔202</w:t>
      </w:r>
      <w:r>
        <w:rPr>
          <w:rFonts w:hint="default" w:ascii="Times New Roman" w:hAnsi="Times New Roman" w:eastAsia="方正仿宋_GBK" w:cs="Times New Roman"/>
          <w:sz w:val="32"/>
          <w:lang w:val="en-US" w:eastAsia="zh-CN"/>
        </w:rPr>
        <w:t>2</w:t>
      </w:r>
      <w:r>
        <w:rPr>
          <w:rFonts w:hint="default" w:ascii="Times New Roman" w:hAnsi="Times New Roman" w:eastAsia="方正仿宋_GBK" w:cs="Times New Roman"/>
          <w:sz w:val="32"/>
        </w:rPr>
        <w:t>〕</w:t>
      </w:r>
      <w:r>
        <w:rPr>
          <w:rFonts w:hint="eastAsia" w:ascii="Times New Roman" w:hAnsi="Times New Roman" w:eastAsia="方正仿宋_GBK" w:cs="Times New Roman"/>
          <w:sz w:val="32"/>
          <w:lang w:val="en-US" w:eastAsia="zh-CN"/>
        </w:rPr>
        <w:t>79</w:t>
      </w:r>
      <w:r>
        <w:rPr>
          <w:rFonts w:hint="default" w:ascii="Times New Roman" w:hAnsi="Times New Roman" w:eastAsia="方正仿宋_GBK" w:cs="Times New Roman"/>
          <w:sz w:val="32"/>
        </w:rPr>
        <w:t>号</w:t>
      </w:r>
      <w:bookmarkStart w:id="0" w:name="_GoBack"/>
      <w:bookmarkEnd w:id="0"/>
    </w:p>
    <w:p>
      <w:pPr>
        <w:jc w:val="center"/>
        <w:rPr>
          <w:rFonts w:hint="default" w:ascii="Times New Roman" w:hAnsi="Times New Roman" w:eastAsia="仿宋_GB2312" w:cs="Times New Roman"/>
          <w:color w:val="FF0000"/>
          <w:sz w:val="32"/>
        </w:rPr>
      </w:pPr>
      <w:r>
        <w:rPr>
          <w:rFonts w:hint="default" w:ascii="Times New Roman" w:hAnsi="Times New Roman" w:eastAsia="仿宋_GB2312" w:cs="Times New Roman"/>
          <w:color w:val="FF0000"/>
          <w:sz w:val="32"/>
        </w:rPr>
        <mc:AlternateContent>
          <mc:Choice Requires="wps">
            <w:drawing>
              <wp:anchor distT="0" distB="0" distL="114300" distR="114300" simplePos="0" relativeHeight="251660288" behindDoc="0" locked="0" layoutInCell="1" allowOverlap="1">
                <wp:simplePos x="0" y="0"/>
                <wp:positionH relativeFrom="column">
                  <wp:posOffset>-164465</wp:posOffset>
                </wp:positionH>
                <wp:positionV relativeFrom="paragraph">
                  <wp:posOffset>85090</wp:posOffset>
                </wp:positionV>
                <wp:extent cx="5715000" cy="0"/>
                <wp:effectExtent l="0" t="19050" r="0" b="19050"/>
                <wp:wrapNone/>
                <wp:docPr id="4" name="直接连接符 4"/>
                <wp:cNvGraphicFramePr/>
                <a:graphic xmlns:a="http://schemas.openxmlformats.org/drawingml/2006/main">
                  <a:graphicData uri="http://schemas.microsoft.com/office/word/2010/wordprocessingShape">
                    <wps:wsp>
                      <wps:cNvCnPr/>
                      <wps:spPr>
                        <a:xfrm>
                          <a:off x="0" y="0"/>
                          <a:ext cx="5715000" cy="0"/>
                        </a:xfrm>
                        <a:prstGeom prst="line">
                          <a:avLst/>
                        </a:prstGeom>
                        <a:ln w="381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2.95pt;margin-top:6.7pt;height:0pt;width:450pt;z-index:251660288;mso-width-relative:page;mso-height-relative:page;" filled="f" stroked="t" coordsize="21600,21600" o:gfxdata="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pzIYvNoAAAAJAQAADwAA&#10;AAAAAAABACAAAAAiAAAAZHJzL2Rvd25yZXYueG1sUEsBAhQAFAAAAAgAh07iQAIOBE3bAQAAlwMA&#10;AA4AAAAAAAAAAQAgAAAAKQEAAGRycy9lMm9Eb2MueG1sUEsFBgAAAAAGAAYAWQEAAHYFAAAAAA==&#10;">
                <v:fill on="f" focussize="0,0"/>
                <v:stroke weight="3pt" color="#FF0000" joinstyle="round"/>
                <v:imagedata o:title=""/>
                <o:lock v:ext="edit" aspectratio="f"/>
              </v:line>
            </w:pict>
          </mc:Fallback>
        </mc:AlternateContent>
      </w:r>
    </w:p>
    <w:p>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关于下达2022年省级财政衔接推进乡村振兴</w:t>
      </w:r>
    </w:p>
    <w:p>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补助资金(少数民族发展任务)的通知</w:t>
      </w:r>
    </w:p>
    <w:p>
      <w:pPr>
        <w:spacing w:line="275" w:lineRule="auto"/>
        <w:rPr>
          <w:rFonts w:ascii="Arial"/>
          <w:sz w:val="21"/>
        </w:rPr>
      </w:pPr>
    </w:p>
    <w:p>
      <w:pPr>
        <w:spacing w:line="276" w:lineRule="auto"/>
        <w:rPr>
          <w:rFonts w:ascii="Arial"/>
          <w:sz w:val="21"/>
        </w:rPr>
      </w:pPr>
    </w:p>
    <w:p>
      <w:pPr>
        <w:spacing w:before="107" w:line="222" w:lineRule="auto"/>
        <w:rPr>
          <w:rFonts w:hint="eastAsia" w:ascii="仿宋" w:hAnsi="仿宋" w:eastAsia="仿宋" w:cs="仿宋"/>
          <w:sz w:val="32"/>
          <w:szCs w:val="32"/>
        </w:rPr>
      </w:pPr>
      <w:r>
        <w:rPr>
          <w:rFonts w:hint="eastAsia" w:ascii="仿宋" w:hAnsi="仿宋" w:eastAsia="仿宋" w:cs="仿宋"/>
          <w:spacing w:val="13"/>
          <w:sz w:val="32"/>
          <w:szCs w:val="32"/>
          <w:lang w:val="en-US" w:eastAsia="zh-CN"/>
        </w:rPr>
        <w:t>麒麟区民族</w:t>
      </w:r>
      <w:r>
        <w:rPr>
          <w:rFonts w:hint="eastAsia" w:ascii="仿宋" w:hAnsi="仿宋" w:eastAsia="仿宋" w:cs="仿宋"/>
          <w:spacing w:val="13"/>
          <w:sz w:val="32"/>
          <w:szCs w:val="32"/>
        </w:rPr>
        <w:t>宗</w:t>
      </w:r>
      <w:r>
        <w:rPr>
          <w:rFonts w:hint="eastAsia" w:ascii="仿宋" w:hAnsi="仿宋" w:eastAsia="仿宋" w:cs="仿宋"/>
          <w:spacing w:val="13"/>
          <w:sz w:val="32"/>
          <w:szCs w:val="32"/>
          <w:lang w:eastAsia="zh-CN"/>
        </w:rPr>
        <w:t>教事务</w:t>
      </w:r>
      <w:r>
        <w:rPr>
          <w:rFonts w:hint="eastAsia" w:ascii="仿宋" w:hAnsi="仿宋" w:eastAsia="仿宋" w:cs="仿宋"/>
          <w:spacing w:val="13"/>
          <w:sz w:val="32"/>
          <w:szCs w:val="32"/>
        </w:rPr>
        <w:t>局</w:t>
      </w:r>
      <w:r>
        <w:rPr>
          <w:rFonts w:hint="eastAsia" w:ascii="仿宋" w:hAnsi="仿宋" w:eastAsia="仿宋" w:cs="仿宋"/>
          <w:spacing w:val="13"/>
          <w:sz w:val="32"/>
          <w:szCs w:val="32"/>
          <w:lang w:eastAsia="zh-CN"/>
        </w:rPr>
        <w:t>、</w:t>
      </w:r>
      <w:r>
        <w:rPr>
          <w:rFonts w:hint="eastAsia" w:ascii="仿宋" w:hAnsi="仿宋" w:eastAsia="仿宋" w:cs="仿宋"/>
          <w:sz w:val="32"/>
          <w:szCs w:val="32"/>
          <w:lang w:val="en-US" w:eastAsia="zh-CN"/>
        </w:rPr>
        <w:t>珠街街道办事处</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越州镇人民政府</w:t>
      </w:r>
      <w:r>
        <w:rPr>
          <w:rFonts w:hint="eastAsia" w:ascii="仿宋" w:hAnsi="仿宋" w:eastAsia="仿宋" w:cs="仿宋"/>
          <w:spacing w:val="13"/>
          <w:sz w:val="32"/>
          <w:szCs w:val="32"/>
        </w:rPr>
        <w:t>:</w:t>
      </w:r>
    </w:p>
    <w:p>
      <w:pPr>
        <w:spacing w:line="60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为进一步贯彻落实党的民族政策，支持民族地区巩固脱贫攻坚成果有效衔接推进乡村振兴，促进民族地区产业发展和民族团结进步，</w:t>
      </w:r>
      <w:r>
        <w:rPr>
          <w:rFonts w:hint="eastAsia" w:ascii="仿宋" w:hAnsi="仿宋" w:eastAsia="仿宋" w:cs="仿宋"/>
          <w:spacing w:val="-5"/>
          <w:sz w:val="32"/>
          <w:szCs w:val="32"/>
        </w:rPr>
        <w:t>根据《云南省财政厅关于下达2022年省级财政衔接推进乡</w:t>
      </w:r>
      <w:r>
        <w:rPr>
          <w:rFonts w:hint="eastAsia" w:ascii="仿宋" w:hAnsi="仿宋" w:eastAsia="仿宋" w:cs="仿宋"/>
          <w:spacing w:val="-4"/>
          <w:sz w:val="32"/>
          <w:szCs w:val="32"/>
        </w:rPr>
        <w:t>村振兴补助资金</w:t>
      </w:r>
      <w:r>
        <w:rPr>
          <w:rFonts w:hint="eastAsia" w:ascii="仿宋" w:hAnsi="仿宋" w:eastAsia="仿宋" w:cs="仿宋"/>
          <w:spacing w:val="-4"/>
          <w:sz w:val="32"/>
          <w:szCs w:val="32"/>
          <w:lang w:eastAsia="zh-CN"/>
        </w:rPr>
        <w:t>（</w:t>
      </w:r>
      <w:r>
        <w:rPr>
          <w:rFonts w:hint="eastAsia" w:ascii="仿宋" w:hAnsi="仿宋" w:eastAsia="仿宋" w:cs="仿宋"/>
          <w:spacing w:val="-4"/>
          <w:sz w:val="32"/>
          <w:szCs w:val="32"/>
        </w:rPr>
        <w:t>少数民族发展任务</w:t>
      </w:r>
      <w:r>
        <w:rPr>
          <w:rFonts w:hint="eastAsia" w:ascii="仿宋" w:hAnsi="仿宋" w:eastAsia="仿宋" w:cs="仿宋"/>
          <w:spacing w:val="-4"/>
          <w:sz w:val="32"/>
          <w:szCs w:val="32"/>
          <w:lang w:eastAsia="zh-CN"/>
        </w:rPr>
        <w:t>）</w:t>
      </w:r>
      <w:r>
        <w:rPr>
          <w:rFonts w:hint="eastAsia" w:ascii="仿宋" w:hAnsi="仿宋" w:eastAsia="仿宋" w:cs="仿宋"/>
          <w:spacing w:val="-4"/>
          <w:sz w:val="32"/>
          <w:szCs w:val="32"/>
        </w:rPr>
        <w:t>的通知》</w:t>
      </w:r>
      <w:r>
        <w:rPr>
          <w:rFonts w:hint="eastAsia" w:ascii="仿宋" w:hAnsi="仿宋" w:eastAsia="仿宋" w:cs="仿宋"/>
          <w:spacing w:val="-4"/>
          <w:sz w:val="32"/>
          <w:szCs w:val="32"/>
          <w:lang w:eastAsia="zh-CN"/>
        </w:rPr>
        <w:t>（</w:t>
      </w:r>
      <w:r>
        <w:rPr>
          <w:rFonts w:hint="eastAsia" w:ascii="仿宋" w:hAnsi="仿宋" w:eastAsia="仿宋" w:cs="仿宋"/>
          <w:spacing w:val="-4"/>
          <w:sz w:val="32"/>
          <w:szCs w:val="32"/>
        </w:rPr>
        <w:t>云财农</w:t>
      </w:r>
      <w:r>
        <w:rPr>
          <w:rFonts w:hint="eastAsia" w:ascii="仿宋" w:hAnsi="仿宋" w:eastAsia="仿宋" w:cs="仿宋"/>
          <w:spacing w:val="-4"/>
          <w:sz w:val="32"/>
          <w:szCs w:val="32"/>
          <w:lang w:val="en-US" w:eastAsia="zh-CN"/>
        </w:rPr>
        <w:t>〔</w:t>
      </w:r>
      <w:r>
        <w:rPr>
          <w:rFonts w:hint="eastAsia" w:ascii="仿宋" w:hAnsi="仿宋" w:eastAsia="仿宋" w:cs="仿宋"/>
          <w:spacing w:val="-4"/>
          <w:sz w:val="32"/>
          <w:szCs w:val="32"/>
        </w:rPr>
        <w:t>2022</w:t>
      </w:r>
      <w:r>
        <w:rPr>
          <w:rFonts w:hint="eastAsia" w:ascii="仿宋" w:hAnsi="仿宋" w:eastAsia="仿宋" w:cs="仿宋"/>
          <w:spacing w:val="-4"/>
          <w:sz w:val="32"/>
          <w:szCs w:val="32"/>
          <w:lang w:val="en-US" w:eastAsia="zh-CN"/>
        </w:rPr>
        <w:t>〕</w:t>
      </w:r>
      <w:r>
        <w:rPr>
          <w:rFonts w:hint="eastAsia" w:ascii="仿宋" w:hAnsi="仿宋" w:eastAsia="仿宋" w:cs="仿宋"/>
          <w:spacing w:val="7"/>
          <w:sz w:val="32"/>
          <w:szCs w:val="32"/>
        </w:rPr>
        <w:t>50号</w:t>
      </w:r>
      <w:r>
        <w:rPr>
          <w:rFonts w:hint="eastAsia" w:ascii="仿宋" w:hAnsi="仿宋" w:eastAsia="仿宋" w:cs="仿宋"/>
          <w:spacing w:val="-4"/>
          <w:sz w:val="32"/>
          <w:szCs w:val="32"/>
          <w:lang w:eastAsia="zh-CN"/>
        </w:rPr>
        <w:t>）</w:t>
      </w:r>
      <w:r>
        <w:rPr>
          <w:rFonts w:hint="eastAsia" w:ascii="仿宋" w:hAnsi="仿宋" w:eastAsia="仿宋" w:cs="仿宋"/>
          <w:sz w:val="32"/>
          <w:szCs w:val="32"/>
          <w:lang w:eastAsia="zh-CN"/>
        </w:rPr>
        <w:t>、</w:t>
      </w:r>
      <w:r>
        <w:rPr>
          <w:rFonts w:hint="eastAsia" w:ascii="仿宋" w:hAnsi="仿宋" w:eastAsia="仿宋" w:cs="仿宋"/>
          <w:sz w:val="32"/>
          <w:szCs w:val="32"/>
        </w:rPr>
        <w:t>《曲靖市财政局曲靖市民族宗教事务委员会关于下达2022年省级财政衔接推进乡村振兴补助资金的通知》</w:t>
      </w:r>
      <w:r>
        <w:rPr>
          <w:rFonts w:hint="eastAsia" w:ascii="仿宋" w:hAnsi="仿宋" w:eastAsia="仿宋" w:cs="仿宋"/>
          <w:sz w:val="32"/>
          <w:szCs w:val="32"/>
          <w:lang w:eastAsia="zh-CN"/>
        </w:rPr>
        <w:t>（</w:t>
      </w:r>
      <w:r>
        <w:rPr>
          <w:rFonts w:hint="eastAsia" w:ascii="仿宋" w:hAnsi="仿宋" w:eastAsia="仿宋" w:cs="仿宋"/>
          <w:sz w:val="32"/>
          <w:szCs w:val="32"/>
        </w:rPr>
        <w:t>曲财农〔2022</w:t>
      </w:r>
      <w:r>
        <w:rPr>
          <w:rFonts w:hint="eastAsia" w:ascii="仿宋" w:hAnsi="仿宋" w:eastAsia="仿宋" w:cs="仿宋"/>
          <w:sz w:val="32"/>
          <w:szCs w:val="32"/>
          <w:lang w:val="en-US" w:eastAsia="zh-CN"/>
        </w:rPr>
        <w:t>〕41</w:t>
      </w:r>
      <w:r>
        <w:rPr>
          <w:rFonts w:hint="eastAsia" w:ascii="仿宋" w:hAnsi="仿宋" w:eastAsia="仿宋" w:cs="仿宋"/>
          <w:sz w:val="32"/>
          <w:szCs w:val="32"/>
        </w:rPr>
        <w:t>号</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文件要求，</w:t>
      </w:r>
      <w:r>
        <w:rPr>
          <w:rFonts w:hint="eastAsia" w:ascii="仿宋" w:hAnsi="仿宋" w:eastAsia="仿宋" w:cs="仿宋"/>
          <w:spacing w:val="7"/>
          <w:sz w:val="32"/>
          <w:szCs w:val="32"/>
        </w:rPr>
        <w:t>现将2022年省级财政衔接推进乡村振兴补助资金</w:t>
      </w:r>
      <w:r>
        <w:rPr>
          <w:rFonts w:hint="eastAsia" w:ascii="仿宋" w:hAnsi="仿宋" w:eastAsia="仿宋" w:cs="仿宋"/>
          <w:spacing w:val="7"/>
          <w:sz w:val="32"/>
          <w:szCs w:val="32"/>
          <w:lang w:eastAsia="zh-CN"/>
        </w:rPr>
        <w:t>（</w:t>
      </w:r>
      <w:r>
        <w:rPr>
          <w:rFonts w:hint="eastAsia" w:ascii="仿宋" w:hAnsi="仿宋" w:eastAsia="仿宋" w:cs="仿宋"/>
          <w:spacing w:val="7"/>
          <w:sz w:val="32"/>
          <w:szCs w:val="32"/>
        </w:rPr>
        <w:t>少数民族发展任务</w:t>
      </w:r>
      <w:r>
        <w:rPr>
          <w:rFonts w:hint="eastAsia" w:ascii="仿宋" w:hAnsi="仿宋" w:eastAsia="仿宋" w:cs="仿宋"/>
          <w:spacing w:val="7"/>
          <w:sz w:val="32"/>
          <w:szCs w:val="32"/>
          <w:lang w:eastAsia="zh-CN"/>
        </w:rPr>
        <w:t>）</w:t>
      </w:r>
      <w:r>
        <w:rPr>
          <w:rFonts w:hint="eastAsia" w:ascii="仿宋" w:hAnsi="仿宋" w:eastAsia="仿宋" w:cs="仿宋"/>
          <w:spacing w:val="7"/>
          <w:sz w:val="32"/>
          <w:szCs w:val="32"/>
          <w:lang w:val="en-US" w:eastAsia="zh-CN"/>
        </w:rPr>
        <w:t>194.5万元</w:t>
      </w:r>
      <w:r>
        <w:rPr>
          <w:rFonts w:hint="eastAsia" w:ascii="仿宋" w:hAnsi="仿宋" w:eastAsia="仿宋" w:cs="仿宋"/>
          <w:spacing w:val="7"/>
          <w:sz w:val="32"/>
          <w:szCs w:val="32"/>
        </w:rPr>
        <w:t>下达你们</w:t>
      </w:r>
      <w:r>
        <w:rPr>
          <w:rFonts w:hint="eastAsia" w:ascii="仿宋" w:hAnsi="仿宋" w:eastAsia="仿宋" w:cs="仿宋"/>
          <w:spacing w:val="7"/>
          <w:sz w:val="32"/>
          <w:szCs w:val="32"/>
          <w:lang w:eastAsia="zh-CN"/>
        </w:rPr>
        <w:t>（</w:t>
      </w:r>
      <w:r>
        <w:rPr>
          <w:rFonts w:hint="eastAsia" w:ascii="仿宋" w:hAnsi="仿宋" w:eastAsia="仿宋" w:cs="仿宋"/>
          <w:spacing w:val="7"/>
          <w:sz w:val="32"/>
          <w:szCs w:val="32"/>
        </w:rPr>
        <w:t>金额</w:t>
      </w:r>
      <w:r>
        <w:rPr>
          <w:rFonts w:hint="eastAsia" w:ascii="仿宋" w:hAnsi="仿宋" w:eastAsia="仿宋" w:cs="仿宋"/>
          <w:spacing w:val="7"/>
          <w:sz w:val="32"/>
          <w:szCs w:val="32"/>
          <w:lang w:eastAsia="zh-CN"/>
        </w:rPr>
        <w:t>分配</w:t>
      </w:r>
      <w:r>
        <w:rPr>
          <w:rFonts w:hint="eastAsia" w:ascii="仿宋" w:hAnsi="仿宋" w:eastAsia="仿宋" w:cs="仿宋"/>
          <w:spacing w:val="7"/>
          <w:sz w:val="32"/>
          <w:szCs w:val="32"/>
        </w:rPr>
        <w:t>详见附件</w:t>
      </w:r>
      <w:r>
        <w:rPr>
          <w:rFonts w:hint="eastAsia" w:ascii="仿宋" w:hAnsi="仿宋" w:eastAsia="仿宋" w:cs="仿宋"/>
          <w:spacing w:val="7"/>
          <w:sz w:val="32"/>
          <w:szCs w:val="32"/>
          <w:lang w:eastAsia="zh-CN"/>
        </w:rPr>
        <w:t>），此款</w:t>
      </w:r>
      <w:r>
        <w:rPr>
          <w:rFonts w:hint="eastAsia" w:ascii="仿宋" w:hAnsi="仿宋" w:eastAsia="仿宋" w:cs="仿宋"/>
          <w:sz w:val="32"/>
          <w:szCs w:val="32"/>
          <w:lang w:eastAsia="zh-CN"/>
        </w:rPr>
        <w:t>请</w:t>
      </w:r>
      <w:r>
        <w:rPr>
          <w:rFonts w:hint="eastAsia" w:ascii="仿宋" w:hAnsi="仿宋" w:eastAsia="仿宋" w:cs="仿宋"/>
          <w:sz w:val="32"/>
          <w:szCs w:val="32"/>
        </w:rPr>
        <w:t>列</w:t>
      </w:r>
      <w:r>
        <w:rPr>
          <w:rFonts w:hint="eastAsia" w:ascii="仿宋" w:hAnsi="仿宋" w:eastAsia="仿宋" w:cs="仿宋"/>
          <w:sz w:val="32"/>
          <w:szCs w:val="32"/>
          <w:lang w:eastAsia="zh-CN"/>
        </w:rPr>
        <w:t>入</w:t>
      </w:r>
      <w:r>
        <w:rPr>
          <w:rFonts w:hint="eastAsia" w:ascii="仿宋" w:hAnsi="仿宋" w:eastAsia="仿宋" w:cs="仿宋"/>
          <w:sz w:val="32"/>
          <w:szCs w:val="32"/>
          <w:lang w:val="en-US" w:eastAsia="zh-CN"/>
        </w:rPr>
        <w:t>2022年</w:t>
      </w:r>
      <w:r>
        <w:rPr>
          <w:rFonts w:hint="eastAsia" w:ascii="仿宋" w:hAnsi="仿宋" w:eastAsia="仿宋" w:cs="仿宋"/>
          <w:sz w:val="32"/>
          <w:szCs w:val="32"/>
        </w:rPr>
        <w:t>“</w:t>
      </w:r>
      <w:r>
        <w:rPr>
          <w:rFonts w:hint="eastAsia" w:ascii="仿宋" w:hAnsi="仿宋" w:eastAsia="仿宋" w:cs="仿宋"/>
          <w:sz w:val="32"/>
          <w:szCs w:val="32"/>
          <w:lang w:val="en-US" w:eastAsia="zh-CN"/>
        </w:rPr>
        <w:t xml:space="preserve"> 2130599</w:t>
      </w:r>
      <w:r>
        <w:rPr>
          <w:rFonts w:hint="eastAsia" w:ascii="仿宋" w:hAnsi="仿宋" w:eastAsia="仿宋" w:cs="仿宋"/>
          <w:sz w:val="32"/>
          <w:szCs w:val="32"/>
        </w:rPr>
        <w:t>－</w:t>
      </w:r>
      <w:r>
        <w:rPr>
          <w:rFonts w:hint="eastAsia" w:ascii="仿宋" w:hAnsi="仿宋" w:eastAsia="仿宋" w:cs="仿宋"/>
          <w:bCs/>
          <w:sz w:val="32"/>
          <w:szCs w:val="32"/>
          <w:highlight w:val="none"/>
          <w:lang w:eastAsia="zh-CN"/>
        </w:rPr>
        <w:t>其他</w:t>
      </w:r>
      <w:r>
        <w:rPr>
          <w:rFonts w:hint="eastAsia" w:ascii="仿宋" w:hAnsi="仿宋" w:eastAsia="仿宋" w:cs="仿宋"/>
          <w:bCs/>
          <w:sz w:val="32"/>
          <w:szCs w:val="32"/>
          <w:highlight w:val="none"/>
        </w:rPr>
        <w:t>巩固脱贫衔接乡村振兴</w:t>
      </w:r>
      <w:r>
        <w:rPr>
          <w:rFonts w:hint="eastAsia" w:ascii="仿宋" w:hAnsi="仿宋" w:eastAsia="仿宋" w:cs="仿宋"/>
          <w:bCs/>
          <w:sz w:val="32"/>
          <w:szCs w:val="32"/>
          <w:highlight w:val="none"/>
          <w:lang w:eastAsia="zh-CN"/>
        </w:rPr>
        <w:t>支出</w:t>
      </w:r>
      <w:r>
        <w:rPr>
          <w:rFonts w:hint="eastAsia" w:ascii="仿宋" w:hAnsi="仿宋" w:eastAsia="仿宋" w:cs="仿宋"/>
          <w:sz w:val="32"/>
          <w:szCs w:val="32"/>
        </w:rPr>
        <w:t>”</w:t>
      </w:r>
      <w:r>
        <w:rPr>
          <w:rFonts w:hint="eastAsia" w:ascii="仿宋" w:hAnsi="仿宋" w:eastAsia="仿宋" w:cs="仿宋"/>
          <w:sz w:val="32"/>
          <w:szCs w:val="32"/>
          <w:lang w:eastAsia="zh-CN"/>
        </w:rPr>
        <w:t>功能分类科目</w:t>
      </w:r>
      <w:r>
        <w:rPr>
          <w:rFonts w:hint="eastAsia" w:ascii="仿宋" w:hAnsi="仿宋" w:eastAsia="仿宋" w:cs="仿宋"/>
          <w:sz w:val="32"/>
          <w:szCs w:val="32"/>
        </w:rPr>
        <w:t>，</w:t>
      </w:r>
      <w:r>
        <w:rPr>
          <w:rFonts w:hint="eastAsia" w:ascii="仿宋" w:hAnsi="仿宋" w:eastAsia="仿宋" w:cs="仿宋"/>
          <w:sz w:val="32"/>
          <w:szCs w:val="32"/>
          <w:lang w:eastAsia="zh-CN"/>
        </w:rPr>
        <w:t>政府</w:t>
      </w:r>
      <w:r>
        <w:rPr>
          <w:rFonts w:hint="eastAsia" w:ascii="仿宋" w:hAnsi="仿宋" w:eastAsia="仿宋" w:cs="仿宋"/>
          <w:sz w:val="32"/>
          <w:szCs w:val="32"/>
        </w:rPr>
        <w:t>经济分类科目列“</w:t>
      </w:r>
      <w:r>
        <w:rPr>
          <w:rFonts w:hint="eastAsia" w:ascii="仿宋" w:hAnsi="仿宋" w:eastAsia="仿宋" w:cs="仿宋"/>
          <w:sz w:val="32"/>
          <w:szCs w:val="32"/>
          <w:lang w:val="en-US" w:eastAsia="zh-CN"/>
        </w:rPr>
        <w:t>50502</w:t>
      </w:r>
      <w:r>
        <w:rPr>
          <w:rFonts w:hint="eastAsia" w:ascii="仿宋" w:hAnsi="仿宋" w:eastAsia="仿宋" w:cs="仿宋"/>
          <w:bCs/>
          <w:sz w:val="32"/>
          <w:szCs w:val="32"/>
          <w:lang w:val="en-US" w:eastAsia="zh-CN"/>
        </w:rPr>
        <w:t>－</w:t>
      </w:r>
      <w:r>
        <w:rPr>
          <w:rFonts w:hint="eastAsia" w:ascii="仿宋" w:hAnsi="仿宋" w:eastAsia="仿宋" w:cs="仿宋"/>
          <w:bCs/>
          <w:sz w:val="32"/>
          <w:szCs w:val="32"/>
          <w:lang w:eastAsia="zh-CN"/>
        </w:rPr>
        <w:t>商品和服务支出</w:t>
      </w:r>
      <w:r>
        <w:rPr>
          <w:rFonts w:hint="eastAsia" w:ascii="仿宋" w:hAnsi="仿宋" w:eastAsia="仿宋" w:cs="仿宋"/>
          <w:sz w:val="32"/>
          <w:szCs w:val="32"/>
        </w:rPr>
        <w:t>”，并就</w:t>
      </w:r>
      <w:r>
        <w:rPr>
          <w:rFonts w:hint="eastAsia" w:ascii="仿宋" w:hAnsi="仿宋" w:eastAsia="仿宋" w:cs="仿宋"/>
          <w:sz w:val="32"/>
          <w:szCs w:val="32"/>
          <w:lang w:val="en-US" w:eastAsia="zh-CN"/>
        </w:rPr>
        <w:t>资金使用管理</w:t>
      </w:r>
      <w:r>
        <w:rPr>
          <w:rFonts w:hint="eastAsia" w:ascii="仿宋" w:hAnsi="仿宋" w:eastAsia="仿宋" w:cs="仿宋"/>
          <w:sz w:val="32"/>
          <w:szCs w:val="32"/>
        </w:rPr>
        <w:t>有关事项通知如下：</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一、资金安排</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（一）安排资金100万元，用于</w:t>
      </w:r>
      <w:r>
        <w:rPr>
          <w:rFonts w:hint="eastAsia" w:ascii="仿宋" w:hAnsi="仿宋" w:eastAsia="仿宋" w:cs="仿宋"/>
          <w:sz w:val="32"/>
          <w:szCs w:val="32"/>
          <w:lang w:val="en-US" w:eastAsia="zh-CN"/>
        </w:rPr>
        <w:t>珠街街道联合村委会白石岩村民小组</w:t>
      </w:r>
      <w:r>
        <w:rPr>
          <w:rFonts w:hint="eastAsia" w:ascii="仿宋" w:hAnsi="仿宋" w:eastAsia="仿宋" w:cs="仿宋"/>
          <w:sz w:val="32"/>
          <w:szCs w:val="32"/>
        </w:rPr>
        <w:t>实施省级民族团结进步示范村创建。</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二</w:t>
      </w:r>
      <w:r>
        <w:rPr>
          <w:rFonts w:hint="eastAsia" w:ascii="仿宋" w:hAnsi="仿宋" w:eastAsia="仿宋" w:cs="仿宋"/>
          <w:sz w:val="32"/>
          <w:szCs w:val="32"/>
        </w:rPr>
        <w:t>）安排资金</w:t>
      </w:r>
      <w:r>
        <w:rPr>
          <w:rFonts w:hint="eastAsia" w:ascii="仿宋" w:hAnsi="仿宋" w:eastAsia="仿宋" w:cs="仿宋"/>
          <w:sz w:val="32"/>
          <w:szCs w:val="32"/>
          <w:lang w:val="en-US" w:eastAsia="zh-CN"/>
        </w:rPr>
        <w:t>25</w:t>
      </w:r>
      <w:r>
        <w:rPr>
          <w:rFonts w:hint="eastAsia" w:ascii="仿宋" w:hAnsi="仿宋" w:eastAsia="仿宋" w:cs="仿宋"/>
          <w:sz w:val="32"/>
          <w:szCs w:val="32"/>
        </w:rPr>
        <w:t>万元，用于</w:t>
      </w:r>
      <w:r>
        <w:rPr>
          <w:rFonts w:hint="eastAsia" w:ascii="仿宋" w:hAnsi="仿宋" w:eastAsia="仿宋" w:cs="仿宋"/>
          <w:sz w:val="32"/>
          <w:szCs w:val="32"/>
          <w:lang w:val="en-US" w:eastAsia="zh-CN"/>
        </w:rPr>
        <w:t>区民宗局实施“麒麟区‘哔哩唛’彝族唢呐演奏”民族文化保护项目和“乌蒙山少数民族非物质文化遗产薪火相传”民族文化保护项目</w:t>
      </w:r>
      <w:r>
        <w:rPr>
          <w:rFonts w:hint="eastAsia" w:ascii="仿宋" w:hAnsi="仿宋" w:eastAsia="仿宋" w:cs="仿宋"/>
          <w:sz w:val="32"/>
          <w:szCs w:val="32"/>
        </w:rPr>
        <w:t>。</w:t>
      </w:r>
    </w:p>
    <w:p>
      <w:pPr>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w:t>
      </w:r>
      <w:r>
        <w:rPr>
          <w:rFonts w:hint="eastAsia" w:ascii="仿宋" w:hAnsi="仿宋" w:eastAsia="仿宋" w:cs="仿宋"/>
          <w:sz w:val="32"/>
          <w:szCs w:val="32"/>
          <w:lang w:val="en-US" w:eastAsia="zh-CN"/>
        </w:rPr>
        <w:t>三</w:t>
      </w:r>
      <w:r>
        <w:rPr>
          <w:rFonts w:hint="eastAsia" w:ascii="仿宋" w:hAnsi="仿宋" w:eastAsia="仿宋" w:cs="仿宋"/>
          <w:sz w:val="32"/>
          <w:szCs w:val="32"/>
        </w:rPr>
        <w:t>）</w:t>
      </w:r>
      <w:r>
        <w:rPr>
          <w:rFonts w:hint="eastAsia" w:ascii="仿宋" w:hAnsi="仿宋" w:eastAsia="仿宋" w:cs="仿宋"/>
          <w:sz w:val="32"/>
          <w:szCs w:val="32"/>
          <w:lang w:val="en-US" w:eastAsia="zh-CN"/>
        </w:rPr>
        <w:t>民贸民品60万元，其中10万元，用于寥廓街道胜峰社区民族团结进步示范社区补短板经费，50万元用于越州镇人民政府实施民贸民品特需定点生产企业技术改造项目。</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安排资金</w:t>
      </w:r>
      <w:r>
        <w:rPr>
          <w:rFonts w:hint="eastAsia" w:ascii="仿宋" w:hAnsi="仿宋" w:eastAsia="仿宋" w:cs="仿宋"/>
          <w:sz w:val="32"/>
          <w:szCs w:val="32"/>
          <w:lang w:val="en-US" w:eastAsia="zh-CN"/>
        </w:rPr>
        <w:t>9.5</w:t>
      </w:r>
      <w:r>
        <w:rPr>
          <w:rFonts w:hint="eastAsia" w:ascii="仿宋" w:hAnsi="仿宋" w:eastAsia="仿宋" w:cs="仿宋"/>
          <w:sz w:val="32"/>
          <w:szCs w:val="32"/>
        </w:rPr>
        <w:t>万元，用于</w:t>
      </w:r>
      <w:r>
        <w:rPr>
          <w:rFonts w:hint="eastAsia" w:ascii="仿宋" w:hAnsi="仿宋" w:eastAsia="仿宋" w:cs="仿宋"/>
          <w:sz w:val="32"/>
          <w:szCs w:val="32"/>
          <w:lang w:val="en-US" w:eastAsia="zh-CN"/>
        </w:rPr>
        <w:t>区民宗局实施麒麟区民族团结进步示范建设补短板和民族团结进步示范创建有关工作。</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二、相关要求</w:t>
      </w:r>
    </w:p>
    <w:p>
      <w:pPr>
        <w:pStyle w:val="10"/>
        <w:tabs>
          <w:tab w:val="left" w:pos="1584"/>
        </w:tabs>
        <w:spacing w:line="590" w:lineRule="exact"/>
        <w:ind w:firstLine="640" w:firstLineChars="200"/>
        <w:rPr>
          <w:rFonts w:hint="eastAsia" w:ascii="仿宋" w:hAnsi="仿宋" w:eastAsia="仿宋" w:cs="仿宋"/>
          <w:sz w:val="32"/>
          <w:szCs w:val="32"/>
          <w:lang w:val="en-US" w:eastAsia="zh-CN" w:bidi="ar-SA"/>
        </w:rPr>
      </w:pPr>
      <w:r>
        <w:rPr>
          <w:rFonts w:hint="eastAsia" w:ascii="仿宋" w:hAnsi="仿宋" w:eastAsia="仿宋" w:cs="仿宋"/>
          <w:sz w:val="32"/>
          <w:szCs w:val="32"/>
          <w:lang w:val="en-US" w:eastAsia="zh-CN" w:bidi="ar-SA"/>
        </w:rPr>
        <w:t>（一）认真做好项目规划</w:t>
      </w:r>
    </w:p>
    <w:p>
      <w:pPr>
        <w:pStyle w:val="2"/>
        <w:spacing w:line="600" w:lineRule="exact"/>
        <w:ind w:firstLine="668" w:firstLineChars="200"/>
        <w:jc w:val="both"/>
        <w:rPr>
          <w:rFonts w:hint="eastAsia" w:ascii="仿宋" w:hAnsi="仿宋" w:eastAsia="仿宋" w:cs="仿宋"/>
          <w:sz w:val="32"/>
          <w:szCs w:val="32"/>
        </w:rPr>
      </w:pPr>
      <w:r>
        <w:rPr>
          <w:rFonts w:hint="eastAsia" w:ascii="仿宋" w:hAnsi="仿宋" w:eastAsia="仿宋" w:cs="仿宋"/>
          <w:spacing w:val="7"/>
          <w:sz w:val="32"/>
          <w:szCs w:val="32"/>
          <w:lang w:val="en-US" w:eastAsia="zh-CN"/>
        </w:rPr>
        <w:t>各项目实施单位要</w:t>
      </w:r>
      <w:r>
        <w:rPr>
          <w:rFonts w:hint="eastAsia" w:ascii="仿宋" w:hAnsi="仿宋" w:eastAsia="仿宋" w:cs="仿宋"/>
          <w:spacing w:val="7"/>
          <w:sz w:val="32"/>
          <w:szCs w:val="32"/>
        </w:rPr>
        <w:t>认真贯彻落实党中央、国务院和省委省政府关于巩固拓展脱贫攻坚成果同乡村振兴有效衔接的规定和决策部署</w:t>
      </w:r>
      <w:r>
        <w:rPr>
          <w:rFonts w:hint="eastAsia" w:ascii="仿宋" w:hAnsi="仿宋" w:eastAsia="仿宋" w:cs="仿宋"/>
          <w:spacing w:val="7"/>
          <w:sz w:val="32"/>
          <w:szCs w:val="32"/>
          <w:lang w:eastAsia="zh-CN"/>
        </w:rPr>
        <w:t>，</w:t>
      </w:r>
      <w:r>
        <w:rPr>
          <w:rFonts w:hint="eastAsia" w:ascii="仿宋" w:hAnsi="仿宋" w:eastAsia="仿宋" w:cs="仿宋"/>
          <w:spacing w:val="7"/>
          <w:sz w:val="32"/>
          <w:szCs w:val="32"/>
        </w:rPr>
        <w:t>严格按照《云南省财政衔接推进乡村振兴补助资金管理办法》</w:t>
      </w:r>
      <w:r>
        <w:rPr>
          <w:rFonts w:hint="eastAsia" w:ascii="仿宋" w:hAnsi="仿宋" w:eastAsia="仿宋" w:cs="仿宋"/>
          <w:spacing w:val="7"/>
          <w:sz w:val="32"/>
          <w:szCs w:val="32"/>
          <w:lang w:eastAsia="zh-CN"/>
        </w:rPr>
        <w:t>（</w:t>
      </w:r>
      <w:r>
        <w:rPr>
          <w:rFonts w:hint="eastAsia" w:ascii="仿宋" w:hAnsi="仿宋" w:eastAsia="仿宋" w:cs="仿宋"/>
          <w:spacing w:val="7"/>
          <w:sz w:val="32"/>
          <w:szCs w:val="32"/>
        </w:rPr>
        <w:t>云财农</w:t>
      </w:r>
      <w:r>
        <w:rPr>
          <w:rFonts w:hint="eastAsia" w:ascii="仿宋" w:hAnsi="仿宋" w:eastAsia="仿宋" w:cs="仿宋"/>
          <w:spacing w:val="7"/>
          <w:sz w:val="32"/>
          <w:szCs w:val="32"/>
          <w:lang w:val="en-US" w:eastAsia="zh-CN"/>
        </w:rPr>
        <w:t>〔</w:t>
      </w:r>
      <w:r>
        <w:rPr>
          <w:rFonts w:hint="eastAsia" w:ascii="仿宋" w:hAnsi="仿宋" w:eastAsia="仿宋" w:cs="仿宋"/>
          <w:spacing w:val="7"/>
          <w:sz w:val="32"/>
          <w:szCs w:val="32"/>
        </w:rPr>
        <w:t>2021</w:t>
      </w:r>
      <w:r>
        <w:rPr>
          <w:rFonts w:hint="eastAsia" w:ascii="仿宋" w:hAnsi="仿宋" w:eastAsia="仿宋" w:cs="仿宋"/>
          <w:spacing w:val="7"/>
          <w:sz w:val="32"/>
          <w:szCs w:val="32"/>
          <w:lang w:val="en-US" w:eastAsia="zh-CN"/>
        </w:rPr>
        <w:t>〕</w:t>
      </w:r>
      <w:r>
        <w:rPr>
          <w:rFonts w:hint="eastAsia" w:ascii="仿宋" w:hAnsi="仿宋" w:eastAsia="仿宋" w:cs="仿宋"/>
          <w:spacing w:val="7"/>
          <w:sz w:val="32"/>
          <w:szCs w:val="32"/>
        </w:rPr>
        <w:t>140号</w:t>
      </w:r>
      <w:r>
        <w:rPr>
          <w:rFonts w:hint="eastAsia" w:ascii="仿宋" w:hAnsi="仿宋" w:eastAsia="仿宋" w:cs="仿宋"/>
          <w:spacing w:val="7"/>
          <w:sz w:val="32"/>
          <w:szCs w:val="32"/>
          <w:lang w:eastAsia="zh-CN"/>
        </w:rPr>
        <w:t>）</w:t>
      </w:r>
      <w:r>
        <w:rPr>
          <w:rFonts w:hint="eastAsia" w:ascii="仿宋" w:hAnsi="仿宋" w:eastAsia="仿宋" w:cs="仿宋"/>
          <w:spacing w:val="-5"/>
          <w:sz w:val="32"/>
          <w:szCs w:val="32"/>
        </w:rPr>
        <w:t>《云南省财政厅关于下达2022年省级财政衔接推进乡</w:t>
      </w:r>
      <w:r>
        <w:rPr>
          <w:rFonts w:hint="eastAsia" w:ascii="仿宋" w:hAnsi="仿宋" w:eastAsia="仿宋" w:cs="仿宋"/>
          <w:spacing w:val="-4"/>
          <w:sz w:val="32"/>
          <w:szCs w:val="32"/>
        </w:rPr>
        <w:t>村振兴补助资金</w:t>
      </w:r>
      <w:r>
        <w:rPr>
          <w:rFonts w:hint="eastAsia" w:ascii="仿宋" w:hAnsi="仿宋" w:eastAsia="仿宋" w:cs="仿宋"/>
          <w:spacing w:val="-4"/>
          <w:sz w:val="32"/>
          <w:szCs w:val="32"/>
          <w:lang w:eastAsia="zh-CN"/>
        </w:rPr>
        <w:t>（</w:t>
      </w:r>
      <w:r>
        <w:rPr>
          <w:rFonts w:hint="eastAsia" w:ascii="仿宋" w:hAnsi="仿宋" w:eastAsia="仿宋" w:cs="仿宋"/>
          <w:spacing w:val="-4"/>
          <w:sz w:val="32"/>
          <w:szCs w:val="32"/>
        </w:rPr>
        <w:t>少数民族发展任务</w:t>
      </w:r>
      <w:r>
        <w:rPr>
          <w:rFonts w:hint="eastAsia" w:ascii="仿宋" w:hAnsi="仿宋" w:eastAsia="仿宋" w:cs="仿宋"/>
          <w:spacing w:val="-4"/>
          <w:sz w:val="32"/>
          <w:szCs w:val="32"/>
          <w:lang w:eastAsia="zh-CN"/>
        </w:rPr>
        <w:t>）</w:t>
      </w:r>
      <w:r>
        <w:rPr>
          <w:rFonts w:hint="eastAsia" w:ascii="仿宋" w:hAnsi="仿宋" w:eastAsia="仿宋" w:cs="仿宋"/>
          <w:spacing w:val="-4"/>
          <w:sz w:val="32"/>
          <w:szCs w:val="32"/>
        </w:rPr>
        <w:t>的通知》</w:t>
      </w:r>
      <w:r>
        <w:rPr>
          <w:rFonts w:hint="eastAsia" w:ascii="仿宋" w:hAnsi="仿宋" w:eastAsia="仿宋" w:cs="仿宋"/>
          <w:spacing w:val="-4"/>
          <w:sz w:val="32"/>
          <w:szCs w:val="32"/>
          <w:lang w:eastAsia="zh-CN"/>
        </w:rPr>
        <w:t>（</w:t>
      </w:r>
      <w:r>
        <w:rPr>
          <w:rFonts w:hint="eastAsia" w:ascii="仿宋" w:hAnsi="仿宋" w:eastAsia="仿宋" w:cs="仿宋"/>
          <w:spacing w:val="-4"/>
          <w:sz w:val="32"/>
          <w:szCs w:val="32"/>
        </w:rPr>
        <w:t>云财农</w:t>
      </w:r>
      <w:r>
        <w:rPr>
          <w:rFonts w:hint="eastAsia" w:ascii="仿宋" w:hAnsi="仿宋" w:eastAsia="仿宋" w:cs="仿宋"/>
          <w:spacing w:val="-4"/>
          <w:sz w:val="32"/>
          <w:szCs w:val="32"/>
          <w:lang w:val="en-US" w:eastAsia="zh-CN"/>
        </w:rPr>
        <w:t>〔</w:t>
      </w:r>
      <w:r>
        <w:rPr>
          <w:rFonts w:hint="eastAsia" w:ascii="仿宋" w:hAnsi="仿宋" w:eastAsia="仿宋" w:cs="仿宋"/>
          <w:spacing w:val="-4"/>
          <w:sz w:val="32"/>
          <w:szCs w:val="32"/>
        </w:rPr>
        <w:t>2022</w:t>
      </w:r>
      <w:r>
        <w:rPr>
          <w:rFonts w:hint="eastAsia" w:ascii="仿宋" w:hAnsi="仿宋" w:eastAsia="仿宋" w:cs="仿宋"/>
          <w:spacing w:val="-4"/>
          <w:sz w:val="32"/>
          <w:szCs w:val="32"/>
          <w:lang w:val="en-US" w:eastAsia="zh-CN"/>
        </w:rPr>
        <w:t>〕</w:t>
      </w:r>
      <w:r>
        <w:rPr>
          <w:rFonts w:hint="eastAsia" w:ascii="仿宋" w:hAnsi="仿宋" w:eastAsia="仿宋" w:cs="仿宋"/>
          <w:spacing w:val="7"/>
          <w:sz w:val="32"/>
          <w:szCs w:val="32"/>
        </w:rPr>
        <w:t>50号</w:t>
      </w:r>
      <w:r>
        <w:rPr>
          <w:rFonts w:hint="eastAsia" w:ascii="仿宋" w:hAnsi="仿宋" w:eastAsia="仿宋" w:cs="仿宋"/>
          <w:spacing w:val="-4"/>
          <w:sz w:val="32"/>
          <w:szCs w:val="32"/>
          <w:lang w:eastAsia="zh-CN"/>
        </w:rPr>
        <w:t>）</w:t>
      </w:r>
      <w:r>
        <w:rPr>
          <w:rFonts w:hint="eastAsia" w:ascii="仿宋" w:hAnsi="仿宋" w:eastAsia="仿宋" w:cs="仿宋"/>
          <w:spacing w:val="7"/>
          <w:sz w:val="32"/>
          <w:szCs w:val="32"/>
          <w:lang w:eastAsia="zh-CN"/>
        </w:rPr>
        <w:t>《</w:t>
      </w:r>
      <w:r>
        <w:rPr>
          <w:rFonts w:hint="eastAsia" w:ascii="仿宋" w:hAnsi="仿宋" w:eastAsia="仿宋" w:cs="仿宋"/>
          <w:spacing w:val="7"/>
          <w:sz w:val="32"/>
          <w:szCs w:val="32"/>
          <w:lang w:val="en-US" w:eastAsia="zh-CN"/>
        </w:rPr>
        <w:t>曲靖市财政局 曲靖市民族宗教事务委员会 关于</w:t>
      </w:r>
      <w:r>
        <w:rPr>
          <w:rFonts w:hint="eastAsia" w:ascii="仿宋" w:hAnsi="仿宋" w:eastAsia="仿宋" w:cs="仿宋"/>
          <w:sz w:val="32"/>
          <w:szCs w:val="32"/>
        </w:rPr>
        <w:t>关于下达2022年省级财政衔接推进乡村振兴补助资金</w:t>
      </w:r>
      <w:r>
        <w:rPr>
          <w:rFonts w:hint="eastAsia" w:ascii="仿宋" w:hAnsi="仿宋" w:eastAsia="仿宋" w:cs="仿宋"/>
          <w:sz w:val="32"/>
          <w:szCs w:val="32"/>
          <w:lang w:eastAsia="zh-CN"/>
        </w:rPr>
        <w:t>（</w:t>
      </w:r>
      <w:r>
        <w:rPr>
          <w:rFonts w:hint="eastAsia" w:ascii="仿宋" w:hAnsi="仿宋" w:eastAsia="仿宋" w:cs="仿宋"/>
          <w:sz w:val="32"/>
          <w:szCs w:val="32"/>
        </w:rPr>
        <w:t>少数民族发展任务</w:t>
      </w:r>
      <w:r>
        <w:rPr>
          <w:rFonts w:hint="eastAsia" w:ascii="仿宋" w:hAnsi="仿宋" w:eastAsia="仿宋" w:cs="仿宋"/>
          <w:sz w:val="32"/>
          <w:szCs w:val="32"/>
          <w:lang w:eastAsia="zh-CN"/>
        </w:rPr>
        <w:t>）</w:t>
      </w:r>
      <w:r>
        <w:rPr>
          <w:rFonts w:hint="eastAsia" w:ascii="仿宋" w:hAnsi="仿宋" w:eastAsia="仿宋" w:cs="仿宋"/>
          <w:sz w:val="32"/>
          <w:szCs w:val="32"/>
        </w:rPr>
        <w:t>的通知</w:t>
      </w:r>
      <w:r>
        <w:rPr>
          <w:rFonts w:hint="eastAsia" w:ascii="仿宋" w:hAnsi="仿宋" w:eastAsia="仿宋" w:cs="仿宋"/>
          <w:spacing w:val="7"/>
          <w:sz w:val="32"/>
          <w:szCs w:val="32"/>
          <w:lang w:eastAsia="zh-CN"/>
        </w:rPr>
        <w:t>》</w:t>
      </w:r>
      <w:r>
        <w:rPr>
          <w:rFonts w:hint="eastAsia" w:ascii="仿宋" w:hAnsi="仿宋" w:eastAsia="仿宋" w:cs="仿宋"/>
          <w:spacing w:val="7"/>
          <w:sz w:val="32"/>
          <w:szCs w:val="32"/>
          <w:lang w:val="en-US" w:eastAsia="zh-CN"/>
        </w:rPr>
        <w:t>（〔2022〕41号）文件</w:t>
      </w:r>
      <w:r>
        <w:rPr>
          <w:rFonts w:hint="eastAsia" w:ascii="仿宋" w:hAnsi="仿宋" w:eastAsia="仿宋" w:cs="仿宋"/>
          <w:spacing w:val="7"/>
          <w:sz w:val="32"/>
          <w:szCs w:val="32"/>
        </w:rPr>
        <w:t>规定使用资金</w:t>
      </w:r>
      <w:r>
        <w:rPr>
          <w:rFonts w:hint="eastAsia" w:ascii="仿宋" w:hAnsi="仿宋" w:eastAsia="仿宋" w:cs="仿宋"/>
          <w:spacing w:val="7"/>
          <w:sz w:val="32"/>
          <w:szCs w:val="32"/>
          <w:lang w:eastAsia="zh-CN"/>
        </w:rPr>
        <w:t>，</w:t>
      </w:r>
      <w:r>
        <w:rPr>
          <w:rFonts w:hint="eastAsia" w:ascii="仿宋" w:hAnsi="仿宋" w:eastAsia="仿宋" w:cs="仿宋"/>
          <w:spacing w:val="7"/>
          <w:sz w:val="32"/>
          <w:szCs w:val="32"/>
        </w:rPr>
        <w:t>切实管好用好资金</w:t>
      </w:r>
      <w:r>
        <w:rPr>
          <w:rFonts w:hint="eastAsia" w:ascii="仿宋" w:hAnsi="仿宋" w:eastAsia="仿宋" w:cs="仿宋"/>
          <w:spacing w:val="7"/>
          <w:sz w:val="32"/>
          <w:szCs w:val="32"/>
          <w:lang w:eastAsia="zh-CN"/>
        </w:rPr>
        <w:t>，</w:t>
      </w:r>
      <w:r>
        <w:rPr>
          <w:rFonts w:hint="eastAsia" w:ascii="仿宋" w:hAnsi="仿宋" w:eastAsia="仿宋" w:cs="仿宋"/>
          <w:spacing w:val="7"/>
          <w:sz w:val="32"/>
          <w:szCs w:val="32"/>
        </w:rPr>
        <w:t>加快资金支出进度,充分发挥资金使用效益。</w:t>
      </w:r>
      <w:r>
        <w:rPr>
          <w:rFonts w:hint="eastAsia" w:ascii="仿宋" w:hAnsi="仿宋" w:eastAsia="仿宋" w:cs="仿宋"/>
          <w:sz w:val="32"/>
          <w:szCs w:val="32"/>
        </w:rPr>
        <w:t>迅速组织做好项目规划，围绕民族地区巩固拓展脱贫攻坚成果、乡村振兴、产业发展</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文化保护</w:t>
      </w:r>
      <w:r>
        <w:rPr>
          <w:rFonts w:hint="eastAsia" w:ascii="仿宋" w:hAnsi="仿宋" w:eastAsia="仿宋" w:cs="仿宋"/>
          <w:sz w:val="32"/>
          <w:szCs w:val="32"/>
        </w:rPr>
        <w:t>等方面认真制定项目实施方案和投资汇总表，于202</w:t>
      </w:r>
      <w:r>
        <w:rPr>
          <w:rFonts w:hint="eastAsia" w:ascii="仿宋" w:hAnsi="仿宋" w:eastAsia="仿宋" w:cs="仿宋"/>
          <w:sz w:val="32"/>
          <w:szCs w:val="32"/>
          <w:lang w:val="en-US" w:eastAsia="zh-CN"/>
        </w:rPr>
        <w:t>2</w:t>
      </w:r>
      <w:r>
        <w:rPr>
          <w:rFonts w:hint="eastAsia" w:ascii="仿宋" w:hAnsi="仿宋" w:eastAsia="仿宋" w:cs="仿宋"/>
          <w:sz w:val="32"/>
          <w:szCs w:val="32"/>
        </w:rPr>
        <w:t>年</w:t>
      </w:r>
      <w:r>
        <w:rPr>
          <w:rFonts w:hint="eastAsia" w:ascii="仿宋" w:hAnsi="仿宋" w:eastAsia="仿宋" w:cs="仿宋"/>
          <w:sz w:val="32"/>
          <w:szCs w:val="32"/>
          <w:lang w:val="en-US" w:eastAsia="zh-CN"/>
        </w:rPr>
        <w:t>5</w:t>
      </w:r>
      <w:r>
        <w:rPr>
          <w:rFonts w:hint="eastAsia" w:ascii="仿宋" w:hAnsi="仿宋" w:eastAsia="仿宋" w:cs="仿宋"/>
          <w:sz w:val="32"/>
          <w:szCs w:val="32"/>
        </w:rPr>
        <w:t>月</w:t>
      </w:r>
      <w:r>
        <w:rPr>
          <w:rFonts w:hint="eastAsia" w:ascii="仿宋" w:hAnsi="仿宋" w:eastAsia="仿宋" w:cs="仿宋"/>
          <w:sz w:val="32"/>
          <w:szCs w:val="32"/>
          <w:lang w:val="en-US" w:eastAsia="zh-CN"/>
        </w:rPr>
        <w:t>9</w:t>
      </w:r>
      <w:r>
        <w:rPr>
          <w:rFonts w:hint="eastAsia" w:ascii="仿宋" w:hAnsi="仿宋" w:eastAsia="仿宋" w:cs="仿宋"/>
          <w:sz w:val="32"/>
          <w:szCs w:val="32"/>
        </w:rPr>
        <w:t>日前将电子版报送至区民宗局邮箱：</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"mailto:mz0874@163.com" </w:instrText>
      </w:r>
      <w:r>
        <w:rPr>
          <w:rFonts w:hint="eastAsia" w:ascii="仿宋" w:hAnsi="仿宋" w:eastAsia="仿宋" w:cs="仿宋"/>
          <w:sz w:val="32"/>
          <w:szCs w:val="32"/>
        </w:rPr>
        <w:fldChar w:fldCharType="separate"/>
      </w:r>
      <w:r>
        <w:rPr>
          <w:rFonts w:hint="eastAsia" w:ascii="仿宋" w:hAnsi="仿宋" w:eastAsia="仿宋" w:cs="仿宋"/>
          <w:sz w:val="32"/>
          <w:szCs w:val="32"/>
        </w:rPr>
        <w:t>mz0874@163.com</w:t>
      </w:r>
      <w:r>
        <w:rPr>
          <w:rFonts w:hint="eastAsia" w:ascii="仿宋" w:hAnsi="仿宋" w:eastAsia="仿宋" w:cs="仿宋"/>
          <w:sz w:val="32"/>
          <w:szCs w:val="32"/>
        </w:rPr>
        <w:fldChar w:fldCharType="end"/>
      </w:r>
      <w:r>
        <w:rPr>
          <w:rFonts w:hint="eastAsia" w:ascii="仿宋" w:hAnsi="仿宋" w:eastAsia="仿宋" w:cs="仿宋"/>
          <w:sz w:val="32"/>
          <w:szCs w:val="32"/>
        </w:rPr>
        <w:t>。项目实施方案制定要具前瞻性和可操作性，项目规划必须报区民宗局批准，经评审立项报省</w:t>
      </w:r>
      <w:r>
        <w:rPr>
          <w:rFonts w:hint="eastAsia" w:ascii="仿宋" w:hAnsi="仿宋" w:eastAsia="仿宋" w:cs="仿宋"/>
          <w:sz w:val="32"/>
          <w:szCs w:val="32"/>
          <w:lang w:eastAsia="zh-CN"/>
        </w:rPr>
        <w:t>、</w:t>
      </w:r>
      <w:r>
        <w:rPr>
          <w:rFonts w:hint="eastAsia" w:ascii="仿宋" w:hAnsi="仿宋" w:eastAsia="仿宋" w:cs="仿宋"/>
          <w:sz w:val="32"/>
          <w:szCs w:val="32"/>
        </w:rPr>
        <w:t>市民宗委备案后方可启动实施，项目实施要严格按规划项目建设地点、建设内容及规模组织实施</w:t>
      </w:r>
      <w:r>
        <w:rPr>
          <w:rFonts w:hint="eastAsia" w:ascii="仿宋" w:hAnsi="仿宋" w:eastAsia="仿宋" w:cs="仿宋"/>
          <w:sz w:val="32"/>
          <w:szCs w:val="32"/>
          <w:lang w:eastAsia="zh-CN"/>
        </w:rPr>
        <w:t>，</w:t>
      </w:r>
      <w:r>
        <w:rPr>
          <w:rFonts w:hint="eastAsia" w:ascii="仿宋" w:hAnsi="仿宋" w:eastAsia="仿宋" w:cs="仿宋"/>
          <w:sz w:val="32"/>
          <w:szCs w:val="32"/>
        </w:rPr>
        <w:t>任何单位或个人不得擅自扩大、缩小或调整、变更项目，项目启动后财政衔接推进乡村振兴补助资金才能按规定使用。镇（街道）要规范实施项目管理，严格控制项目投资规模，做到资金到项目、管理到项目</w:t>
      </w:r>
      <w:r>
        <w:rPr>
          <w:rFonts w:hint="eastAsia" w:ascii="仿宋" w:hAnsi="仿宋" w:eastAsia="仿宋" w:cs="仿宋"/>
          <w:sz w:val="32"/>
          <w:szCs w:val="32"/>
          <w:lang w:eastAsia="zh-CN"/>
        </w:rPr>
        <w:t>、</w:t>
      </w:r>
      <w:r>
        <w:rPr>
          <w:rFonts w:hint="eastAsia" w:ascii="仿宋" w:hAnsi="仿宋" w:eastAsia="仿宋" w:cs="仿宋"/>
          <w:sz w:val="32"/>
          <w:szCs w:val="32"/>
        </w:rPr>
        <w:t>核算到项目、验收到项目。</w:t>
      </w:r>
    </w:p>
    <w:p>
      <w:pPr>
        <w:pStyle w:val="10"/>
        <w:shd w:val="clear" w:color="auto" w:fill="auto"/>
        <w:tabs>
          <w:tab w:val="left" w:pos="1584"/>
        </w:tabs>
        <w:spacing w:line="590" w:lineRule="exact"/>
        <w:ind w:firstLine="640" w:firstLineChars="200"/>
        <w:rPr>
          <w:rFonts w:hint="eastAsia" w:ascii="仿宋" w:hAnsi="仿宋" w:eastAsia="仿宋" w:cs="仿宋"/>
          <w:sz w:val="32"/>
          <w:szCs w:val="32"/>
          <w:lang w:val="en-US" w:eastAsia="zh-CN" w:bidi="ar-SA"/>
        </w:rPr>
      </w:pPr>
      <w:r>
        <w:rPr>
          <w:rFonts w:hint="eastAsia" w:ascii="仿宋" w:hAnsi="仿宋" w:eastAsia="仿宋" w:cs="仿宋"/>
          <w:sz w:val="32"/>
          <w:szCs w:val="32"/>
          <w:lang w:val="en-US" w:eastAsia="zh-CN" w:bidi="ar-SA"/>
        </w:rPr>
        <w:t>（二）落实监管责任</w:t>
      </w:r>
    </w:p>
    <w:p>
      <w:pPr>
        <w:pStyle w:val="10"/>
        <w:tabs>
          <w:tab w:val="left" w:pos="1584"/>
        </w:tabs>
        <w:spacing w:line="590" w:lineRule="exact"/>
        <w:ind w:firstLine="640" w:firstLineChars="200"/>
        <w:rPr>
          <w:rFonts w:hint="eastAsia" w:ascii="仿宋" w:hAnsi="仿宋" w:eastAsia="仿宋" w:cs="仿宋"/>
          <w:sz w:val="32"/>
          <w:szCs w:val="32"/>
          <w:lang w:val="en-US" w:eastAsia="zh-CN" w:bidi="ar-SA"/>
        </w:rPr>
      </w:pPr>
      <w:r>
        <w:rPr>
          <w:rFonts w:hint="eastAsia" w:ascii="仿宋" w:hAnsi="仿宋" w:eastAsia="仿宋" w:cs="仿宋"/>
          <w:sz w:val="32"/>
          <w:szCs w:val="32"/>
          <w:lang w:val="en-US" w:eastAsia="zh-CN" w:bidi="ar-SA"/>
        </w:rPr>
        <w:t>各镇（街道）要认真落实项目管理的主体责任，切实加强对项目组织实施的领导，及时协调解决困难问题，保证项目建设顺利进行，确保按时按质按量圆满完成建设任务。各镇（街道）乡村振兴办、财政所要认真履行监管职责，定期督促检查项目建设进度，严格管理项目工程质量。项目村和项目实施单位要严格落实财政衔接推进乡村振兴补助资金项目相关管理规定，认真组织实施好项目，管好用好财政衔接推进乡村振兴补助资金。项目工程竣工后，各（镇）街道、项目实施村要落实管护责任，加强资产后续管理，确保项目长期发挥效益。</w:t>
      </w:r>
    </w:p>
    <w:p>
      <w:pPr>
        <w:pStyle w:val="10"/>
        <w:shd w:val="clear" w:color="auto" w:fill="auto"/>
        <w:tabs>
          <w:tab w:val="left" w:pos="1584"/>
        </w:tabs>
        <w:spacing w:line="590" w:lineRule="exact"/>
        <w:ind w:firstLine="640" w:firstLineChars="200"/>
        <w:rPr>
          <w:rFonts w:hint="eastAsia" w:ascii="仿宋" w:hAnsi="仿宋" w:eastAsia="仿宋" w:cs="仿宋"/>
          <w:sz w:val="32"/>
          <w:szCs w:val="32"/>
          <w:lang w:val="en-US" w:eastAsia="zh-CN" w:bidi="ar-SA"/>
        </w:rPr>
      </w:pPr>
      <w:r>
        <w:rPr>
          <w:rFonts w:hint="eastAsia" w:ascii="仿宋" w:hAnsi="仿宋" w:eastAsia="仿宋" w:cs="仿宋"/>
          <w:sz w:val="32"/>
          <w:szCs w:val="32"/>
          <w:lang w:val="en-US" w:eastAsia="zh-CN" w:bidi="ar-SA"/>
        </w:rPr>
        <w:t>（三）加强项目资金管理</w:t>
      </w:r>
    </w:p>
    <w:p>
      <w:pPr>
        <w:pStyle w:val="10"/>
        <w:tabs>
          <w:tab w:val="left" w:pos="1584"/>
        </w:tabs>
        <w:spacing w:line="590" w:lineRule="exact"/>
        <w:ind w:firstLine="640" w:firstLineChars="200"/>
        <w:rPr>
          <w:rFonts w:hint="eastAsia" w:ascii="仿宋" w:hAnsi="仿宋" w:eastAsia="仿宋" w:cs="仿宋"/>
          <w:sz w:val="32"/>
          <w:szCs w:val="32"/>
          <w:lang w:val="en-US" w:eastAsia="zh-CN" w:bidi="ar-SA"/>
        </w:rPr>
      </w:pPr>
      <w:r>
        <w:rPr>
          <w:rFonts w:hint="eastAsia" w:ascii="仿宋" w:hAnsi="仿宋" w:eastAsia="仿宋" w:cs="仿宋"/>
          <w:sz w:val="32"/>
          <w:szCs w:val="32"/>
          <w:lang w:val="en-US" w:eastAsia="zh-CN" w:bidi="ar-SA"/>
        </w:rPr>
        <w:t>各镇（街道）及财政所要严格按照中央、省、市、区关于财政衔接推进乡村振兴补助资金管理办法要求，切实管好用好财政衔接推进乡村振兴补助资金，加快资金使用进度，充分发挥资金使用效益。要牢固构建上级监督、监察审计监督、部门互相监督、群众监督和社会舆论监督“五道防线”，确保衔接推进乡村振兴补助资金绝对安全。任何单位或个人不得擅自改变资金用途，严禁挤占、挪用、虚报冒领、截留财政衔接推进乡村振兴补助资金。上述违规违法行为一经发现，将按照相关法律法规严肃追究当事人的责任。</w:t>
      </w:r>
    </w:p>
    <w:p>
      <w:pPr>
        <w:pStyle w:val="10"/>
        <w:shd w:val="clear" w:color="auto" w:fill="auto"/>
        <w:tabs>
          <w:tab w:val="left" w:pos="1584"/>
        </w:tabs>
        <w:spacing w:line="590" w:lineRule="exact"/>
        <w:ind w:firstLine="640" w:firstLineChars="200"/>
        <w:rPr>
          <w:rFonts w:hint="eastAsia" w:ascii="仿宋" w:hAnsi="仿宋" w:eastAsia="仿宋" w:cs="仿宋"/>
          <w:sz w:val="32"/>
          <w:szCs w:val="32"/>
          <w:lang w:val="en-US" w:eastAsia="zh-CN" w:bidi="ar-SA"/>
        </w:rPr>
      </w:pPr>
      <w:r>
        <w:rPr>
          <w:rFonts w:hint="eastAsia" w:ascii="仿宋" w:hAnsi="仿宋" w:eastAsia="仿宋" w:cs="仿宋"/>
          <w:sz w:val="32"/>
          <w:szCs w:val="32"/>
          <w:lang w:val="en-US" w:eastAsia="zh-CN" w:bidi="ar-SA"/>
        </w:rPr>
        <w:t>（四）严格落实项目管理各项制度</w:t>
      </w:r>
    </w:p>
    <w:p>
      <w:pPr>
        <w:pStyle w:val="10"/>
        <w:tabs>
          <w:tab w:val="left" w:pos="1584"/>
        </w:tabs>
        <w:spacing w:line="590" w:lineRule="exact"/>
        <w:ind w:firstLine="640" w:firstLineChars="200"/>
        <w:rPr>
          <w:rFonts w:hint="eastAsia" w:ascii="仿宋" w:hAnsi="仿宋" w:eastAsia="仿宋" w:cs="仿宋"/>
          <w:sz w:val="32"/>
          <w:szCs w:val="32"/>
          <w:lang w:val="en-US" w:eastAsia="zh-CN" w:bidi="ar-SA"/>
        </w:rPr>
      </w:pPr>
      <w:r>
        <w:rPr>
          <w:rFonts w:hint="eastAsia" w:ascii="仿宋" w:hAnsi="仿宋" w:eastAsia="仿宋" w:cs="仿宋"/>
          <w:sz w:val="32"/>
          <w:szCs w:val="32"/>
          <w:lang w:val="en-US" w:eastAsia="zh-CN" w:bidi="ar-SA"/>
        </w:rPr>
        <w:t>1、严格落实衔接推进乡村振兴补助资金项目廉政承诺制、群众廉政评议制。在项目实施前，各镇（街道）、村（社区）、村民小组要逐级向上一级作出廉政承诺，签订廉政承诺书，对不签订财政衔接推进乡村振兴补助资金项目廉政承诺的，一律不得审批启动实施项目；对经考核评议不能履行廉政承诺的，项目一律不予验收。在项目村推荐若干群众代表担任衔接推进乡村振兴补助资金项目廉政评议员。项目启动前、实施过程中、验收考核时，廉政评议员对衔接推进乡村振兴补助资金项目是否按照规划方案执行、衔接推进乡村振兴补助资金项目廉政承诺内容是否向群众公开、项目资金管理是否符合规定等内容进行廉政评议，评议结果作为项目验收的重要依据。</w:t>
      </w:r>
    </w:p>
    <w:p>
      <w:pPr>
        <w:pStyle w:val="10"/>
        <w:tabs>
          <w:tab w:val="left" w:pos="1584"/>
        </w:tabs>
        <w:spacing w:line="590" w:lineRule="exact"/>
        <w:ind w:firstLine="640" w:firstLineChars="200"/>
        <w:rPr>
          <w:rFonts w:hint="eastAsia" w:ascii="仿宋" w:hAnsi="仿宋" w:eastAsia="仿宋" w:cs="仿宋"/>
          <w:sz w:val="32"/>
          <w:szCs w:val="32"/>
          <w:lang w:val="en-US" w:eastAsia="zh-CN" w:bidi="ar-SA"/>
        </w:rPr>
      </w:pPr>
      <w:r>
        <w:rPr>
          <w:rFonts w:hint="eastAsia" w:ascii="仿宋" w:hAnsi="仿宋" w:eastAsia="仿宋" w:cs="仿宋"/>
          <w:sz w:val="32"/>
          <w:szCs w:val="32"/>
          <w:lang w:val="en-US" w:eastAsia="zh-CN" w:bidi="ar-SA"/>
        </w:rPr>
        <w:t>2、严格落实项目资金监管。各镇（街道）要严格按照《财政部 国家乡村振兴局 国家发展改革委 国家民委 农业农村部 国家林业和草原局关于印发〈中央财政衔接推进乡村振兴补助资 金管理办法〉的通知》（财农〔2021〕19号）、《云南省财政衔接推进乡村振兴补助资金管理办法》（云财农〔2021〕140号）、《曲靖市财政衔接推进乡村补助资金管理办法》（曲财农〔2022〕13号）等文件管理项目及资金，切实提高资金的使用管理水平。各镇（街道）与项目村签订项目资金监管目标责任书，将项目资金监管责任和任务落实到村、到组、到人，做到责任明确。</w:t>
      </w:r>
    </w:p>
    <w:p>
      <w:pPr>
        <w:pStyle w:val="10"/>
        <w:tabs>
          <w:tab w:val="left" w:pos="1584"/>
        </w:tabs>
        <w:spacing w:line="590" w:lineRule="exact"/>
        <w:ind w:firstLine="640" w:firstLineChars="200"/>
        <w:rPr>
          <w:rFonts w:hint="eastAsia" w:ascii="仿宋" w:hAnsi="仿宋" w:eastAsia="仿宋" w:cs="仿宋"/>
          <w:sz w:val="32"/>
          <w:szCs w:val="32"/>
          <w:lang w:val="en-US" w:eastAsia="zh-CN" w:bidi="ar-SA"/>
        </w:rPr>
      </w:pPr>
      <w:r>
        <w:rPr>
          <w:rFonts w:hint="eastAsia" w:ascii="仿宋" w:hAnsi="仿宋" w:eastAsia="仿宋" w:cs="仿宋"/>
          <w:sz w:val="32"/>
          <w:szCs w:val="32"/>
          <w:lang w:val="en-US" w:eastAsia="zh-CN" w:bidi="ar-SA"/>
        </w:rPr>
        <w:t>3、严格落实衔接推进乡村振兴补助资金资金项目公示公告制、招投标制。各镇（街道）要严格按照《国务院扶贫办财政部印发〈关于完善扶贫资金项目公告公示制度的指导意见〉的通知》《云南省全面实施扶贫资金项目公告公示制度的实施意见》《曲靖市扶贫开发领导小组关于加强县级脱贫攻坚项目库建设 和完善扶贫资金项目公示公告制度的实施意见》（曲扶组发〔2017〕15号）的要求，全面推行公开公示制度，各镇（街道）、项目村要通过政府门户网站、报刊、广播、公示牌（栏）等方式及时向社会公告公示项目资金的管理、分配、使用情况等信息，对项目的建设计划、建设内容、建设规模、资金使用等方面的详 细情况，要及时进行事前公示、事后公告，接受群众和社会的监督，并保持长期公开状态。各镇（街道）要严格按照项目招投标相关管理规定和程序，对项目进行公开招投标。</w:t>
      </w:r>
    </w:p>
    <w:p>
      <w:pPr>
        <w:pStyle w:val="10"/>
        <w:tabs>
          <w:tab w:val="left" w:pos="1584"/>
        </w:tabs>
        <w:spacing w:line="590" w:lineRule="exact"/>
        <w:ind w:firstLine="640" w:firstLineChars="200"/>
        <w:rPr>
          <w:rFonts w:hint="eastAsia" w:ascii="仿宋" w:hAnsi="仿宋" w:eastAsia="仿宋" w:cs="仿宋"/>
          <w:sz w:val="32"/>
          <w:szCs w:val="32"/>
          <w:lang w:val="en-US" w:eastAsia="zh-CN" w:bidi="ar-SA"/>
        </w:rPr>
      </w:pPr>
      <w:r>
        <w:rPr>
          <w:rFonts w:hint="eastAsia" w:ascii="仿宋" w:hAnsi="仿宋" w:eastAsia="仿宋" w:cs="仿宋"/>
          <w:sz w:val="32"/>
          <w:szCs w:val="32"/>
          <w:lang w:val="en-US" w:eastAsia="zh-CN" w:bidi="ar-SA"/>
        </w:rPr>
        <w:t>4、严格落实项目验收制。要进一步完善衔接推进乡村振兴补助资金项目验收、竣工决算及项目审计制度，完善督导检查制度，加强对衔接推进乡村振兴补助资金项目及资金的监管、监督。各镇（街道）及项目实施村要高度重视项目建设档案管理工作，项目竣工后，要及时开展衔接推进乡村振兴补助资金项目验收，按照项目建设档案管理的要求，及时收集、整理、完善相关档案资料，做到痕迹资料齐全，手续完备，加快衔接推进乡村振兴补助资金项目竣工决算，做到竣工一个、验收一个、决算一个。</w:t>
      </w:r>
    </w:p>
    <w:p>
      <w:pPr>
        <w:pStyle w:val="10"/>
        <w:tabs>
          <w:tab w:val="left" w:pos="1584"/>
        </w:tabs>
        <w:spacing w:line="590" w:lineRule="exact"/>
        <w:ind w:firstLine="640" w:firstLineChars="200"/>
        <w:rPr>
          <w:rFonts w:hint="eastAsia" w:ascii="仿宋" w:hAnsi="仿宋" w:eastAsia="仿宋" w:cs="仿宋"/>
          <w:sz w:val="32"/>
          <w:szCs w:val="32"/>
          <w:lang w:val="en-US" w:eastAsia="zh-CN" w:bidi="ar-SA"/>
        </w:rPr>
      </w:pPr>
      <w:r>
        <w:rPr>
          <w:rFonts w:hint="eastAsia" w:ascii="仿宋" w:hAnsi="仿宋" w:eastAsia="仿宋" w:cs="仿宋"/>
          <w:sz w:val="32"/>
          <w:szCs w:val="32"/>
          <w:lang w:val="en-US" w:eastAsia="zh-CN" w:bidi="ar-SA"/>
        </w:rPr>
        <w:t>5、严格执行国库集中支付制度。各镇（街道）要按照《财政部 国家乡村振兴局 国家发展改革委 国家民委 农业农村部 国家林业和草原局关于印发〈中央财政衔接推进乡村振兴补助资 金管理办法〉的通知》（财农〔2021〕19号）、《云南省财政衔接推进乡村振兴补助资金管理办法》（云财农〔2021〕140号）、《曲靖市财政衔接推进乡村补助资金管理办法》（曲财农〔2022〕13号）等文件的要求，严格按程序拨付资金。</w:t>
      </w:r>
    </w:p>
    <w:p>
      <w:pPr>
        <w:spacing w:before="312" w:beforeLines="100" w:line="52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附件: 麒麟区下达202</w:t>
      </w:r>
      <w:r>
        <w:rPr>
          <w:rFonts w:hint="eastAsia" w:ascii="仿宋" w:hAnsi="仿宋" w:eastAsia="仿宋" w:cs="仿宋"/>
          <w:sz w:val="32"/>
          <w:szCs w:val="32"/>
          <w:lang w:val="en-US" w:eastAsia="zh-CN"/>
        </w:rPr>
        <w:t>2</w:t>
      </w:r>
      <w:r>
        <w:rPr>
          <w:rFonts w:hint="eastAsia" w:ascii="仿宋" w:hAnsi="仿宋" w:eastAsia="仿宋" w:cs="仿宋"/>
          <w:sz w:val="32"/>
          <w:szCs w:val="32"/>
        </w:rPr>
        <w:t>年</w:t>
      </w:r>
      <w:r>
        <w:rPr>
          <w:rFonts w:hint="eastAsia" w:ascii="仿宋" w:hAnsi="仿宋" w:eastAsia="仿宋" w:cs="仿宋"/>
          <w:sz w:val="32"/>
          <w:szCs w:val="32"/>
          <w:lang w:val="en-US" w:eastAsia="zh-CN"/>
        </w:rPr>
        <w:t>省级</w:t>
      </w:r>
      <w:r>
        <w:rPr>
          <w:rFonts w:hint="eastAsia" w:ascii="仿宋" w:hAnsi="仿宋" w:eastAsia="仿宋" w:cs="仿宋"/>
          <w:sz w:val="32"/>
          <w:szCs w:val="32"/>
        </w:rPr>
        <w:t>财政衔接推进乡村振兴补助资金分配表（少数民族发展任务资金）</w:t>
      </w:r>
    </w:p>
    <w:p>
      <w:pPr>
        <w:spacing w:line="600" w:lineRule="exact"/>
        <w:rPr>
          <w:rFonts w:hint="eastAsia" w:ascii="仿宋" w:hAnsi="仿宋" w:eastAsia="仿宋" w:cs="仿宋"/>
          <w:sz w:val="32"/>
          <w:szCs w:val="32"/>
        </w:rPr>
      </w:pPr>
    </w:p>
    <w:p>
      <w:pPr>
        <w:spacing w:line="600" w:lineRule="exact"/>
        <w:rPr>
          <w:rFonts w:hint="eastAsia" w:ascii="仿宋" w:hAnsi="仿宋" w:eastAsia="仿宋" w:cs="仿宋"/>
          <w:spacing w:val="-20"/>
          <w:sz w:val="32"/>
          <w:szCs w:val="32"/>
        </w:rPr>
      </w:pPr>
      <w:r>
        <w:rPr>
          <w:rFonts w:hint="eastAsia" w:ascii="仿宋" w:hAnsi="仿宋" w:eastAsia="仿宋" w:cs="仿宋"/>
          <w:spacing w:val="-20"/>
          <w:sz w:val="32"/>
          <w:szCs w:val="32"/>
        </w:rPr>
        <w:t xml:space="preserve">曲靖市麒麟区财政局  </w:t>
      </w:r>
      <w:r>
        <w:rPr>
          <w:rFonts w:hint="eastAsia" w:ascii="仿宋" w:hAnsi="仿宋" w:eastAsia="仿宋" w:cs="仿宋"/>
          <w:spacing w:val="-20"/>
          <w:sz w:val="32"/>
          <w:szCs w:val="32"/>
          <w:lang w:val="en-US" w:eastAsia="zh-CN"/>
        </w:rPr>
        <w:t xml:space="preserve">              </w:t>
      </w:r>
      <w:r>
        <w:rPr>
          <w:rFonts w:hint="eastAsia" w:ascii="仿宋" w:hAnsi="仿宋" w:eastAsia="仿宋" w:cs="仿宋"/>
          <w:spacing w:val="-20"/>
          <w:sz w:val="32"/>
          <w:szCs w:val="32"/>
        </w:rPr>
        <w:t xml:space="preserve">曲靖市麒麟区民族宗教事务局                </w:t>
      </w:r>
    </w:p>
    <w:p>
      <w:pPr>
        <w:spacing w:line="600" w:lineRule="exact"/>
        <w:rPr>
          <w:rFonts w:hint="eastAsia" w:ascii="仿宋" w:hAnsi="仿宋" w:eastAsia="仿宋" w:cs="仿宋"/>
          <w:spacing w:val="-20"/>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1400" w:firstLineChars="500"/>
        <w:textAlignment w:val="auto"/>
        <w:rPr>
          <w:rFonts w:hint="eastAsia" w:ascii="仿宋" w:hAnsi="仿宋" w:eastAsia="仿宋" w:cs="仿宋"/>
          <w:spacing w:val="-20"/>
          <w:sz w:val="32"/>
          <w:szCs w:val="32"/>
        </w:rPr>
      </w:pPr>
      <w:r>
        <w:rPr>
          <w:rFonts w:hint="eastAsia" w:ascii="仿宋" w:hAnsi="仿宋" w:eastAsia="仿宋" w:cs="仿宋"/>
          <w:spacing w:val="-20"/>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2</w:t>
      </w:r>
      <w:r>
        <w:rPr>
          <w:rFonts w:hint="eastAsia" w:ascii="仿宋" w:hAnsi="仿宋" w:eastAsia="仿宋" w:cs="仿宋"/>
          <w:sz w:val="32"/>
          <w:szCs w:val="32"/>
        </w:rPr>
        <w:t>年</w:t>
      </w:r>
      <w:r>
        <w:rPr>
          <w:rFonts w:hint="eastAsia" w:ascii="仿宋" w:hAnsi="仿宋" w:eastAsia="仿宋" w:cs="仿宋"/>
          <w:sz w:val="32"/>
          <w:szCs w:val="32"/>
          <w:lang w:val="en-US" w:eastAsia="zh-CN"/>
        </w:rPr>
        <w:t>4</w:t>
      </w:r>
      <w:r>
        <w:rPr>
          <w:rFonts w:hint="eastAsia" w:ascii="仿宋" w:hAnsi="仿宋" w:eastAsia="仿宋" w:cs="仿宋"/>
          <w:sz w:val="32"/>
          <w:szCs w:val="32"/>
        </w:rPr>
        <w:t>月</w:t>
      </w:r>
      <w:r>
        <w:rPr>
          <w:rFonts w:hint="eastAsia" w:ascii="仿宋" w:hAnsi="仿宋" w:eastAsia="仿宋" w:cs="仿宋"/>
          <w:sz w:val="32"/>
          <w:szCs w:val="32"/>
          <w:lang w:val="en-US" w:eastAsia="zh-CN"/>
        </w:rPr>
        <w:t>23</w:t>
      </w:r>
      <w:r>
        <w:rPr>
          <w:rFonts w:hint="eastAsia" w:ascii="仿宋" w:hAnsi="仿宋" w:eastAsia="仿宋" w:cs="仿宋"/>
          <w:sz w:val="32"/>
          <w:szCs w:val="32"/>
        </w:rPr>
        <w:t>日</w:t>
      </w:r>
    </w:p>
    <w:p>
      <w:pPr>
        <w:rPr>
          <w:rFonts w:hint="eastAsia" w:ascii="方正小标宋_GBK" w:hAnsi="方正小标宋_GBK" w:eastAsia="方正小标宋_GBK" w:cs="方正小标宋_GBK"/>
          <w:sz w:val="36"/>
          <w:szCs w:val="36"/>
        </w:rPr>
        <w:sectPr>
          <w:headerReference r:id="rId3" w:type="default"/>
          <w:footerReference r:id="rId4" w:type="default"/>
          <w:pgSz w:w="12070" w:h="16950"/>
          <w:pgMar w:top="1440" w:right="1587" w:bottom="1440" w:left="1587" w:header="0" w:footer="0" w:gutter="0"/>
          <w:pgNumType w:fmt="numberInDash"/>
          <w:cols w:space="720" w:num="1"/>
        </w:sectPr>
      </w:pPr>
    </w:p>
    <w:p>
      <w:pPr>
        <w:spacing w:line="600" w:lineRule="exact"/>
        <w:jc w:val="center"/>
        <w:rPr>
          <w:rFonts w:hint="eastAsia" w:ascii="方正小标宋_GBK" w:hAnsi="方正小标宋_GBK" w:eastAsia="方正小标宋_GBK" w:cs="方正小标宋_GBK"/>
          <w:sz w:val="44"/>
          <w:szCs w:val="44"/>
        </w:rPr>
      </w:pPr>
      <w:r>
        <w:rPr>
          <w:rFonts w:hint="eastAsia" w:ascii="仿宋" w:hAnsi="仿宋" w:eastAsia="仿宋" w:cs="仿宋"/>
          <w:sz w:val="32"/>
          <w:szCs w:val="32"/>
        </w:rPr>
        <mc:AlternateContent>
          <mc:Choice Requires="wps">
            <w:drawing>
              <wp:anchor distT="0" distB="0" distL="114300" distR="114300" simplePos="0" relativeHeight="251670528" behindDoc="0" locked="0" layoutInCell="1" allowOverlap="1">
                <wp:simplePos x="0" y="0"/>
                <wp:positionH relativeFrom="column">
                  <wp:posOffset>453390</wp:posOffset>
                </wp:positionH>
                <wp:positionV relativeFrom="paragraph">
                  <wp:posOffset>-523240</wp:posOffset>
                </wp:positionV>
                <wp:extent cx="1132205" cy="371475"/>
                <wp:effectExtent l="0" t="0" r="10795" b="9525"/>
                <wp:wrapNone/>
                <wp:docPr id="6" name="文本框 6"/>
                <wp:cNvGraphicFramePr/>
                <a:graphic xmlns:a="http://schemas.openxmlformats.org/drawingml/2006/main">
                  <a:graphicData uri="http://schemas.microsoft.com/office/word/2010/wordprocessingShape">
                    <wps:wsp>
                      <wps:cNvSpPr txBox="1"/>
                      <wps:spPr>
                        <a:xfrm>
                          <a:off x="1312545" y="791845"/>
                          <a:ext cx="1132205" cy="3714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sz w:val="28"/>
                                <w:szCs w:val="28"/>
                                <w:lang w:val="en-US" w:eastAsia="zh-CN"/>
                              </w:rPr>
                            </w:pPr>
                            <w:r>
                              <w:rPr>
                                <w:rFonts w:hint="eastAsia"/>
                                <w:sz w:val="28"/>
                                <w:szCs w:val="28"/>
                                <w:lang w:val="en-US" w:eastAsia="zh-CN"/>
                              </w:rPr>
                              <w:t>附件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5.7pt;margin-top:-41.2pt;height:29.25pt;width:89.15pt;z-index:251670528;mso-width-relative:page;mso-height-relative:page;" fillcolor="#FFFFFF [3201]" filled="t" stroked="f" coordsize="21600,21600" o:gfxdata="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&#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AialZtcAAAAMAQAADwAAAAAAAAABACAAAAAiAAAAZHJz&#10;L2Rvd25yZXYueG1sUEsBAhQAFAAAAAgAh07iQCqgs2M+AgAATAQAAA4AAAAAAAAAAQAgAAAAJgEA&#10;AGRycy9lMm9Eb2MueG1sUEsFBgAAAAAGAAYAWQEAANYFAAAAAA==&#10;">
                <v:fill on="t" focussize="0,0"/>
                <v:stroke on="f" weight="0.5pt"/>
                <v:imagedata o:title=""/>
                <o:lock v:ext="edit" aspectratio="f"/>
                <v:textbox>
                  <w:txbxContent>
                    <w:p>
                      <w:pPr>
                        <w:rPr>
                          <w:rFonts w:hint="eastAsia" w:eastAsiaTheme="minorEastAsia"/>
                          <w:sz w:val="28"/>
                          <w:szCs w:val="28"/>
                          <w:lang w:val="en-US" w:eastAsia="zh-CN"/>
                        </w:rPr>
                      </w:pPr>
                      <w:r>
                        <w:rPr>
                          <w:rFonts w:hint="eastAsia"/>
                          <w:sz w:val="28"/>
                          <w:szCs w:val="28"/>
                          <w:lang w:val="en-US" w:eastAsia="zh-CN"/>
                        </w:rPr>
                        <w:t>附件</w:t>
                      </w:r>
                    </w:p>
                  </w:txbxContent>
                </v:textbox>
              </v:shape>
            </w:pict>
          </mc:Fallback>
        </mc:AlternateContent>
      </w:r>
      <w:r>
        <w:rPr>
          <w:rFonts w:hint="eastAsia" w:ascii="方正小标宋_GBK" w:hAnsi="方正小标宋_GBK" w:eastAsia="方正小标宋_GBK" w:cs="方正小标宋_GBK"/>
          <w:sz w:val="36"/>
          <w:szCs w:val="36"/>
        </w:rPr>
        <w:t>麒麟区下达202</w:t>
      </w:r>
      <w:r>
        <w:rPr>
          <w:rFonts w:hint="eastAsia" w:ascii="方正小标宋_GBK" w:hAnsi="方正小标宋_GBK" w:eastAsia="方正小标宋_GBK" w:cs="方正小标宋_GBK"/>
          <w:sz w:val="36"/>
          <w:szCs w:val="36"/>
          <w:lang w:val="en-US" w:eastAsia="zh-CN"/>
        </w:rPr>
        <w:t>2</w:t>
      </w:r>
      <w:r>
        <w:rPr>
          <w:rFonts w:hint="eastAsia" w:ascii="方正小标宋_GBK" w:hAnsi="方正小标宋_GBK" w:eastAsia="方正小标宋_GBK" w:cs="方正小标宋_GBK"/>
          <w:sz w:val="36"/>
          <w:szCs w:val="36"/>
        </w:rPr>
        <w:t>年</w:t>
      </w:r>
      <w:r>
        <w:rPr>
          <w:rFonts w:hint="eastAsia" w:ascii="方正小标宋_GBK" w:hAnsi="方正小标宋_GBK" w:eastAsia="方正小标宋_GBK" w:cs="方正小标宋_GBK"/>
          <w:sz w:val="36"/>
          <w:szCs w:val="36"/>
          <w:lang w:val="en-US" w:eastAsia="zh-CN"/>
        </w:rPr>
        <w:t>省级</w:t>
      </w:r>
      <w:r>
        <w:rPr>
          <w:rFonts w:hint="eastAsia" w:ascii="方正小标宋_GBK" w:hAnsi="方正小标宋_GBK" w:eastAsia="方正小标宋_GBK" w:cs="方正小标宋_GBK"/>
          <w:sz w:val="36"/>
          <w:szCs w:val="36"/>
        </w:rPr>
        <w:t>财政衔接推进乡村振兴补助资金分配</w:t>
      </w:r>
    </w:p>
    <w:tbl>
      <w:tblPr>
        <w:tblStyle w:val="6"/>
        <w:tblpPr w:leftFromText="180" w:rightFromText="180" w:vertAnchor="text" w:horzAnchor="page" w:tblpX="1960" w:tblpY="427"/>
        <w:tblOverlap w:val="never"/>
        <w:tblW w:w="132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
        <w:gridCol w:w="1763"/>
        <w:gridCol w:w="1694"/>
        <w:gridCol w:w="1708"/>
        <w:gridCol w:w="6304"/>
        <w:gridCol w:w="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序号</w:t>
            </w:r>
          </w:p>
        </w:tc>
        <w:tc>
          <w:tcPr>
            <w:tcW w:w="176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30"/>
                <w:szCs w:val="30"/>
                <w:vertAlign w:val="baseline"/>
                <w:lang w:val="en-US" w:eastAsia="zh-CN"/>
              </w:rPr>
            </w:pPr>
            <w:r>
              <w:rPr>
                <w:rFonts w:hint="eastAsia" w:ascii="仿宋" w:hAnsi="仿宋" w:eastAsia="仿宋" w:cs="仿宋"/>
                <w:kern w:val="2"/>
                <w:sz w:val="30"/>
                <w:szCs w:val="30"/>
                <w:vertAlign w:val="baseline"/>
                <w:lang w:val="en-US" w:eastAsia="zh-CN" w:bidi="ar-SA"/>
              </w:rPr>
              <w:t>省市下达</w:t>
            </w:r>
            <w:r>
              <w:rPr>
                <w:rFonts w:hint="eastAsia" w:ascii="仿宋" w:hAnsi="仿宋" w:eastAsia="仿宋" w:cs="仿宋"/>
                <w:sz w:val="30"/>
                <w:szCs w:val="30"/>
                <w:vertAlign w:val="baseline"/>
                <w:lang w:val="en-US" w:eastAsia="zh-CN"/>
              </w:rPr>
              <w:t>资金用途</w:t>
            </w:r>
          </w:p>
        </w:tc>
        <w:tc>
          <w:tcPr>
            <w:tcW w:w="169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2"/>
                <w:sz w:val="30"/>
                <w:szCs w:val="30"/>
                <w:vertAlign w:val="baseline"/>
                <w:lang w:val="en-US" w:eastAsia="zh-CN" w:bidi="ar-SA"/>
              </w:rPr>
            </w:pPr>
            <w:r>
              <w:rPr>
                <w:rFonts w:hint="eastAsia" w:ascii="仿宋" w:hAnsi="仿宋" w:eastAsia="仿宋" w:cs="仿宋"/>
                <w:sz w:val="30"/>
                <w:szCs w:val="30"/>
                <w:vertAlign w:val="baseline"/>
                <w:lang w:val="en-US" w:eastAsia="zh-CN"/>
              </w:rPr>
              <w:t>实施单位</w:t>
            </w:r>
          </w:p>
        </w:tc>
        <w:tc>
          <w:tcPr>
            <w:tcW w:w="170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30"/>
                <w:szCs w:val="30"/>
              </w:rPr>
            </w:pPr>
            <w:r>
              <w:rPr>
                <w:rFonts w:hint="eastAsia" w:ascii="仿宋" w:hAnsi="仿宋" w:eastAsia="仿宋" w:cs="仿宋"/>
                <w:sz w:val="30"/>
                <w:szCs w:val="30"/>
              </w:rPr>
              <w:t>补助金额</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2"/>
                <w:sz w:val="30"/>
                <w:szCs w:val="30"/>
                <w:vertAlign w:val="baseline"/>
                <w:lang w:val="en-US" w:eastAsia="zh-CN" w:bidi="ar-SA"/>
              </w:rPr>
            </w:pP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单位：万元</w:t>
            </w:r>
            <w:r>
              <w:rPr>
                <w:rFonts w:hint="eastAsia" w:ascii="仿宋" w:hAnsi="仿宋" w:eastAsia="仿宋" w:cs="仿宋"/>
                <w:sz w:val="30"/>
                <w:szCs w:val="30"/>
                <w:lang w:eastAsia="zh-CN"/>
              </w:rPr>
              <w:t>）</w:t>
            </w:r>
          </w:p>
        </w:tc>
        <w:tc>
          <w:tcPr>
            <w:tcW w:w="630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30"/>
                <w:szCs w:val="30"/>
                <w:vertAlign w:val="baseline"/>
                <w:lang w:val="en-US" w:eastAsia="zh-CN"/>
              </w:rPr>
            </w:pPr>
            <w:r>
              <w:rPr>
                <w:rFonts w:hint="eastAsia" w:ascii="仿宋" w:hAnsi="仿宋" w:eastAsia="仿宋" w:cs="仿宋"/>
                <w:sz w:val="30"/>
                <w:szCs w:val="30"/>
              </w:rPr>
              <w:t>资金用途及分配情况</w:t>
            </w:r>
          </w:p>
        </w:tc>
        <w:tc>
          <w:tcPr>
            <w:tcW w:w="86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1</w:t>
            </w:r>
          </w:p>
        </w:tc>
        <w:tc>
          <w:tcPr>
            <w:tcW w:w="176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十百千万示范创建工程</w:t>
            </w:r>
          </w:p>
        </w:tc>
        <w:tc>
          <w:tcPr>
            <w:tcW w:w="169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2"/>
                <w:sz w:val="30"/>
                <w:szCs w:val="30"/>
                <w:vertAlign w:val="baseline"/>
                <w:lang w:val="en-US" w:eastAsia="zh-CN" w:bidi="ar-SA"/>
              </w:rPr>
            </w:pPr>
            <w:r>
              <w:rPr>
                <w:rFonts w:hint="eastAsia" w:ascii="仿宋" w:hAnsi="仿宋" w:eastAsia="仿宋" w:cs="仿宋"/>
                <w:sz w:val="30"/>
                <w:szCs w:val="30"/>
                <w:lang w:val="en-US" w:eastAsia="zh-CN"/>
              </w:rPr>
              <w:t>珠街街道</w:t>
            </w:r>
          </w:p>
        </w:tc>
        <w:tc>
          <w:tcPr>
            <w:tcW w:w="170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2"/>
                <w:sz w:val="30"/>
                <w:szCs w:val="30"/>
                <w:vertAlign w:val="baseline"/>
                <w:lang w:val="en-US" w:eastAsia="zh-CN" w:bidi="ar-SA"/>
              </w:rPr>
            </w:pPr>
            <w:r>
              <w:rPr>
                <w:rFonts w:hint="eastAsia" w:ascii="仿宋" w:hAnsi="仿宋" w:eastAsia="仿宋" w:cs="仿宋"/>
                <w:sz w:val="30"/>
                <w:szCs w:val="30"/>
                <w:vertAlign w:val="baseline"/>
                <w:lang w:val="en-US" w:eastAsia="zh-CN"/>
              </w:rPr>
              <w:t>100</w:t>
            </w:r>
          </w:p>
        </w:tc>
        <w:tc>
          <w:tcPr>
            <w:tcW w:w="630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sz w:val="30"/>
                <w:szCs w:val="30"/>
                <w:vertAlign w:val="baseline"/>
                <w:lang w:val="en-US" w:eastAsia="zh-CN"/>
              </w:rPr>
            </w:pPr>
            <w:r>
              <w:rPr>
                <w:rFonts w:hint="eastAsia" w:ascii="仿宋" w:hAnsi="仿宋" w:eastAsia="仿宋" w:cs="仿宋"/>
                <w:sz w:val="30"/>
                <w:szCs w:val="30"/>
                <w:lang w:val="en-US" w:eastAsia="zh-CN"/>
              </w:rPr>
              <w:t>用于联合村委会白石岩彝族村民小组</w:t>
            </w:r>
            <w:r>
              <w:rPr>
                <w:rFonts w:hint="eastAsia" w:ascii="仿宋" w:hAnsi="仿宋" w:eastAsia="仿宋" w:cs="仿宋"/>
                <w:sz w:val="30"/>
                <w:szCs w:val="30"/>
              </w:rPr>
              <w:t>实施省级民族团结进步示范村创建</w:t>
            </w:r>
            <w:r>
              <w:rPr>
                <w:rFonts w:hint="eastAsia" w:ascii="仿宋" w:hAnsi="仿宋" w:eastAsia="仿宋" w:cs="仿宋"/>
                <w:sz w:val="30"/>
                <w:szCs w:val="30"/>
                <w:lang w:eastAsia="zh-CN"/>
              </w:rPr>
              <w:t>。</w:t>
            </w:r>
          </w:p>
        </w:tc>
        <w:tc>
          <w:tcPr>
            <w:tcW w:w="86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2</w:t>
            </w:r>
          </w:p>
        </w:tc>
        <w:tc>
          <w:tcPr>
            <w:tcW w:w="1763"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民贸民品</w:t>
            </w:r>
          </w:p>
        </w:tc>
        <w:tc>
          <w:tcPr>
            <w:tcW w:w="169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2"/>
                <w:sz w:val="30"/>
                <w:szCs w:val="30"/>
                <w:vertAlign w:val="baseline"/>
                <w:lang w:val="en-US" w:eastAsia="zh-CN" w:bidi="ar-SA"/>
              </w:rPr>
            </w:pPr>
            <w:r>
              <w:rPr>
                <w:rFonts w:hint="eastAsia" w:ascii="仿宋" w:hAnsi="仿宋" w:eastAsia="仿宋" w:cs="仿宋"/>
                <w:kern w:val="2"/>
                <w:sz w:val="30"/>
                <w:szCs w:val="30"/>
                <w:vertAlign w:val="baseline"/>
                <w:lang w:val="en-US" w:eastAsia="zh-CN" w:bidi="ar-SA"/>
              </w:rPr>
              <w:t>区民宗局</w:t>
            </w:r>
          </w:p>
        </w:tc>
        <w:tc>
          <w:tcPr>
            <w:tcW w:w="170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10</w:t>
            </w:r>
          </w:p>
        </w:tc>
        <w:tc>
          <w:tcPr>
            <w:tcW w:w="630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left"/>
              <w:textAlignment w:val="auto"/>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补助2017胜峰社区实施省级民族团结进步示范社区创建项目下差经费10万元。</w:t>
            </w:r>
          </w:p>
        </w:tc>
        <w:tc>
          <w:tcPr>
            <w:tcW w:w="86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3</w:t>
            </w:r>
          </w:p>
        </w:tc>
        <w:tc>
          <w:tcPr>
            <w:tcW w:w="1763"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30"/>
                <w:szCs w:val="30"/>
                <w:vertAlign w:val="baseline"/>
                <w:lang w:val="en-US" w:eastAsia="zh-CN"/>
              </w:rPr>
            </w:pPr>
          </w:p>
        </w:tc>
        <w:tc>
          <w:tcPr>
            <w:tcW w:w="169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2"/>
                <w:sz w:val="30"/>
                <w:szCs w:val="30"/>
                <w:vertAlign w:val="baseline"/>
                <w:lang w:val="en-US" w:eastAsia="zh-CN" w:bidi="ar-SA"/>
              </w:rPr>
            </w:pPr>
            <w:r>
              <w:rPr>
                <w:rFonts w:hint="eastAsia" w:ascii="仿宋" w:hAnsi="仿宋" w:eastAsia="仿宋" w:cs="仿宋"/>
                <w:kern w:val="2"/>
                <w:sz w:val="30"/>
                <w:szCs w:val="30"/>
                <w:vertAlign w:val="baseline"/>
                <w:lang w:val="en-US" w:eastAsia="zh-CN" w:bidi="ar-SA"/>
              </w:rPr>
              <w:t>越州镇</w:t>
            </w:r>
          </w:p>
        </w:tc>
        <w:tc>
          <w:tcPr>
            <w:tcW w:w="170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2"/>
                <w:sz w:val="30"/>
                <w:szCs w:val="30"/>
                <w:lang w:val="en-US" w:eastAsia="zh-CN" w:bidi="ar-SA"/>
              </w:rPr>
            </w:pPr>
            <w:r>
              <w:rPr>
                <w:rFonts w:hint="eastAsia" w:ascii="仿宋" w:hAnsi="仿宋" w:eastAsia="仿宋" w:cs="仿宋"/>
                <w:sz w:val="30"/>
                <w:szCs w:val="30"/>
                <w:lang w:val="en-US" w:eastAsia="zh-CN"/>
              </w:rPr>
              <w:t>50</w:t>
            </w:r>
          </w:p>
        </w:tc>
        <w:tc>
          <w:tcPr>
            <w:tcW w:w="630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kern w:val="2"/>
                <w:sz w:val="30"/>
                <w:szCs w:val="30"/>
                <w:vertAlign w:val="baseline"/>
                <w:lang w:val="en-US" w:eastAsia="zh-CN" w:bidi="ar-SA"/>
              </w:rPr>
            </w:pPr>
            <w:r>
              <w:rPr>
                <w:rFonts w:hint="eastAsia" w:ascii="仿宋" w:hAnsi="仿宋" w:eastAsia="仿宋" w:cs="仿宋"/>
                <w:sz w:val="30"/>
                <w:szCs w:val="30"/>
                <w:lang w:val="en-US" w:eastAsia="zh-CN"/>
              </w:rPr>
              <w:t>用于越州镇人民政府实施民贸民品特需定点生产企业技术改造项目。</w:t>
            </w:r>
          </w:p>
        </w:tc>
        <w:tc>
          <w:tcPr>
            <w:tcW w:w="86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4</w:t>
            </w:r>
          </w:p>
        </w:tc>
        <w:tc>
          <w:tcPr>
            <w:tcW w:w="176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2"/>
                <w:sz w:val="30"/>
                <w:szCs w:val="30"/>
                <w:vertAlign w:val="baseline"/>
                <w:lang w:val="en-US" w:eastAsia="zh-CN" w:bidi="ar-SA"/>
              </w:rPr>
            </w:pPr>
            <w:r>
              <w:rPr>
                <w:rFonts w:hint="eastAsia" w:ascii="仿宋" w:hAnsi="仿宋" w:eastAsia="仿宋" w:cs="仿宋"/>
                <w:kern w:val="2"/>
                <w:sz w:val="30"/>
                <w:szCs w:val="30"/>
                <w:vertAlign w:val="baseline"/>
                <w:lang w:val="en-US" w:eastAsia="zh-CN" w:bidi="ar-SA"/>
              </w:rPr>
              <w:t>支出奖补因素</w:t>
            </w:r>
          </w:p>
        </w:tc>
        <w:tc>
          <w:tcPr>
            <w:tcW w:w="169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2"/>
                <w:sz w:val="30"/>
                <w:szCs w:val="30"/>
                <w:vertAlign w:val="baseline"/>
                <w:lang w:val="en-US" w:eastAsia="zh-CN" w:bidi="ar-SA"/>
              </w:rPr>
            </w:pPr>
            <w:r>
              <w:rPr>
                <w:rFonts w:hint="eastAsia" w:ascii="仿宋" w:hAnsi="仿宋" w:eastAsia="仿宋" w:cs="仿宋"/>
                <w:kern w:val="2"/>
                <w:sz w:val="30"/>
                <w:szCs w:val="30"/>
                <w:vertAlign w:val="baseline"/>
                <w:lang w:val="en-US" w:eastAsia="zh-CN" w:bidi="ar-SA"/>
              </w:rPr>
              <w:t>区民宗局</w:t>
            </w:r>
          </w:p>
        </w:tc>
        <w:tc>
          <w:tcPr>
            <w:tcW w:w="170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9.5</w:t>
            </w:r>
          </w:p>
        </w:tc>
        <w:tc>
          <w:tcPr>
            <w:tcW w:w="630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kern w:val="2"/>
                <w:sz w:val="30"/>
                <w:szCs w:val="30"/>
                <w:vertAlign w:val="baseline"/>
                <w:lang w:val="en-US" w:eastAsia="zh-CN" w:bidi="ar-SA"/>
              </w:rPr>
            </w:pPr>
            <w:r>
              <w:rPr>
                <w:rFonts w:hint="eastAsia" w:ascii="仿宋" w:hAnsi="仿宋" w:eastAsia="仿宋" w:cs="仿宋"/>
                <w:sz w:val="30"/>
                <w:szCs w:val="30"/>
                <w:lang w:val="en-US" w:eastAsia="zh-CN"/>
              </w:rPr>
              <w:t>区民宗局实施麒麟区民族团结进步示范建设补短板和民族团结进步示范创建有关工作。</w:t>
            </w:r>
          </w:p>
        </w:tc>
        <w:tc>
          <w:tcPr>
            <w:tcW w:w="86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5</w:t>
            </w:r>
          </w:p>
        </w:tc>
        <w:tc>
          <w:tcPr>
            <w:tcW w:w="176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2"/>
                <w:sz w:val="30"/>
                <w:szCs w:val="30"/>
                <w:vertAlign w:val="baseline"/>
                <w:lang w:val="en-US" w:eastAsia="zh-CN" w:bidi="ar-SA"/>
              </w:rPr>
            </w:pPr>
            <w:r>
              <w:rPr>
                <w:rFonts w:hint="eastAsia" w:ascii="仿宋" w:hAnsi="仿宋" w:eastAsia="仿宋" w:cs="仿宋"/>
                <w:kern w:val="2"/>
                <w:sz w:val="30"/>
                <w:szCs w:val="30"/>
                <w:vertAlign w:val="baseline"/>
                <w:lang w:val="en-US" w:eastAsia="zh-CN" w:bidi="ar-SA"/>
              </w:rPr>
              <w:t>民族文化项目</w:t>
            </w:r>
          </w:p>
        </w:tc>
        <w:tc>
          <w:tcPr>
            <w:tcW w:w="169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2"/>
                <w:sz w:val="30"/>
                <w:szCs w:val="30"/>
                <w:vertAlign w:val="baseline"/>
                <w:lang w:val="en-US" w:eastAsia="zh-CN" w:bidi="ar-SA"/>
              </w:rPr>
            </w:pPr>
            <w:r>
              <w:rPr>
                <w:rFonts w:hint="eastAsia" w:ascii="仿宋" w:hAnsi="仿宋" w:eastAsia="仿宋" w:cs="仿宋"/>
                <w:kern w:val="2"/>
                <w:sz w:val="30"/>
                <w:szCs w:val="30"/>
                <w:vertAlign w:val="baseline"/>
                <w:lang w:val="en-US" w:eastAsia="zh-CN" w:bidi="ar-SA"/>
              </w:rPr>
              <w:t>区民宗局</w:t>
            </w:r>
          </w:p>
        </w:tc>
        <w:tc>
          <w:tcPr>
            <w:tcW w:w="170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2"/>
                <w:sz w:val="30"/>
                <w:szCs w:val="30"/>
                <w:lang w:val="en-US" w:eastAsia="zh-CN" w:bidi="ar-SA"/>
              </w:rPr>
            </w:pPr>
            <w:r>
              <w:rPr>
                <w:rFonts w:hint="eastAsia" w:ascii="仿宋" w:hAnsi="仿宋" w:eastAsia="仿宋" w:cs="仿宋"/>
                <w:sz w:val="30"/>
                <w:szCs w:val="30"/>
                <w:lang w:val="en-US" w:eastAsia="zh-CN"/>
              </w:rPr>
              <w:t>25</w:t>
            </w:r>
          </w:p>
        </w:tc>
        <w:tc>
          <w:tcPr>
            <w:tcW w:w="630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kern w:val="2"/>
                <w:sz w:val="30"/>
                <w:szCs w:val="30"/>
                <w:vertAlign w:val="baseline"/>
                <w:lang w:val="en-US" w:eastAsia="zh-CN" w:bidi="ar-SA"/>
              </w:rPr>
            </w:pPr>
            <w:r>
              <w:rPr>
                <w:rFonts w:hint="eastAsia" w:ascii="仿宋" w:hAnsi="仿宋" w:eastAsia="仿宋" w:cs="仿宋"/>
                <w:sz w:val="30"/>
                <w:szCs w:val="30"/>
                <w:lang w:val="en-US" w:eastAsia="zh-CN"/>
              </w:rPr>
              <w:t>区民宗局实施2个民族文化保护项目，10万元实施“彝族唢呐演奏技艺保护”；15万元实施“乌蒙山少数民族非遗丛书出版”。</w:t>
            </w:r>
          </w:p>
        </w:tc>
        <w:tc>
          <w:tcPr>
            <w:tcW w:w="86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30"/>
                <w:szCs w:val="30"/>
                <w:vertAlign w:val="baseline"/>
                <w:lang w:val="en-US" w:eastAsia="zh-CN"/>
              </w:rPr>
            </w:pPr>
          </w:p>
        </w:tc>
        <w:tc>
          <w:tcPr>
            <w:tcW w:w="176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kern w:val="2"/>
                <w:sz w:val="30"/>
                <w:szCs w:val="30"/>
                <w:vertAlign w:val="baseline"/>
                <w:lang w:val="en-US" w:eastAsia="zh-CN" w:bidi="ar-SA"/>
              </w:rPr>
            </w:pPr>
            <w:r>
              <w:rPr>
                <w:rFonts w:hint="eastAsia" w:ascii="仿宋" w:hAnsi="仿宋" w:eastAsia="仿宋" w:cs="仿宋"/>
                <w:b/>
                <w:bCs/>
                <w:kern w:val="2"/>
                <w:sz w:val="30"/>
                <w:szCs w:val="30"/>
                <w:vertAlign w:val="baseline"/>
                <w:lang w:val="en-US" w:eastAsia="zh-CN" w:bidi="ar-SA"/>
              </w:rPr>
              <w:t>合计</w:t>
            </w:r>
          </w:p>
        </w:tc>
        <w:tc>
          <w:tcPr>
            <w:tcW w:w="169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kern w:val="2"/>
                <w:sz w:val="30"/>
                <w:szCs w:val="30"/>
                <w:vertAlign w:val="baseline"/>
                <w:lang w:val="en-US" w:eastAsia="zh-CN" w:bidi="ar-SA"/>
              </w:rPr>
            </w:pPr>
          </w:p>
        </w:tc>
        <w:tc>
          <w:tcPr>
            <w:tcW w:w="170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b/>
                <w:bCs/>
                <w:sz w:val="30"/>
                <w:szCs w:val="30"/>
                <w:lang w:val="en-US" w:eastAsia="zh-CN"/>
              </w:rPr>
            </w:pPr>
            <w:r>
              <w:rPr>
                <w:rFonts w:hint="eastAsia" w:ascii="仿宋" w:hAnsi="仿宋" w:eastAsia="仿宋" w:cs="仿宋"/>
                <w:b/>
                <w:bCs/>
                <w:sz w:val="30"/>
                <w:szCs w:val="30"/>
                <w:lang w:val="en-US" w:eastAsia="zh-CN"/>
              </w:rPr>
              <w:t>194.5</w:t>
            </w:r>
          </w:p>
        </w:tc>
        <w:tc>
          <w:tcPr>
            <w:tcW w:w="630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sz w:val="30"/>
                <w:szCs w:val="30"/>
                <w:lang w:val="en-US" w:eastAsia="zh-CN"/>
              </w:rPr>
            </w:pPr>
          </w:p>
        </w:tc>
        <w:tc>
          <w:tcPr>
            <w:tcW w:w="86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30"/>
                <w:szCs w:val="30"/>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18"/>
          <w:szCs w:val="18"/>
        </w:rPr>
      </w:pPr>
    </w:p>
    <w:p>
      <w:pPr>
        <w:rPr>
          <w:rFonts w:ascii="Arial"/>
          <w:sz w:val="21"/>
        </w:rPr>
      </w:pPr>
    </w:p>
    <w:sectPr>
      <w:pgSz w:w="16950" w:h="12070" w:orient="landscape"/>
      <w:pgMar w:top="1587" w:right="1440" w:bottom="1587" w:left="1440" w:header="0" w:footer="0" w:gutter="0"/>
      <w:paperSrc/>
      <w:pgNumType w:fmt="numberInDash"/>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UI Symbol">
    <w:panose1 w:val="020B0502040204020203"/>
    <w:charset w:val="00"/>
    <w:family w:val="auto"/>
    <w:pitch w:val="default"/>
    <w:sig w:usb0="8000006F" w:usb1="1200FBEF" w:usb2="0064C000" w:usb3="00000002" w:csb0="00000001" w:csb1="40000000"/>
  </w:font>
  <w:font w:name="Segoe UI">
    <w:panose1 w:val="020B0502040204020203"/>
    <w:charset w:val="00"/>
    <w:family w:val="auto"/>
    <w:pitch w:val="default"/>
    <w:sig w:usb0="E10022FF" w:usb1="C000E47F" w:usb2="00000029" w:usb3="00000000" w:csb0="200001DF" w:csb1="2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96D169"/>
    <w:multiLevelType w:val="singleLevel"/>
    <w:tmpl w:val="8C96D169"/>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documentProtection w:enforcement="0"/>
  <w:characterSpacingControl w:val="doNotCompress"/>
  <w:compat>
    <w:spaceForUL/>
    <w:ulTrailSpace/>
    <w:useFELayout/>
    <w:compatSetting w:name="compatibilityMode" w:uri="http://schemas.microsoft.com/office/word" w:val="14"/>
  </w:compat>
  <w:rsids>
    <w:rsidRoot w:val="00000000"/>
    <w:rsid w:val="005D4603"/>
    <w:rsid w:val="00612A33"/>
    <w:rsid w:val="00AA3C63"/>
    <w:rsid w:val="02BA33C0"/>
    <w:rsid w:val="02D973D3"/>
    <w:rsid w:val="04635A3A"/>
    <w:rsid w:val="06440D68"/>
    <w:rsid w:val="070F1711"/>
    <w:rsid w:val="081608A9"/>
    <w:rsid w:val="081E189C"/>
    <w:rsid w:val="0830327C"/>
    <w:rsid w:val="085F2E56"/>
    <w:rsid w:val="08CC2F16"/>
    <w:rsid w:val="08F57ACE"/>
    <w:rsid w:val="0961768A"/>
    <w:rsid w:val="0A0B50CF"/>
    <w:rsid w:val="0A1D1B66"/>
    <w:rsid w:val="0A2F75F7"/>
    <w:rsid w:val="0AC5204D"/>
    <w:rsid w:val="0B6275EE"/>
    <w:rsid w:val="0D3708BF"/>
    <w:rsid w:val="0E76441D"/>
    <w:rsid w:val="0F3E0510"/>
    <w:rsid w:val="0F5F4F57"/>
    <w:rsid w:val="0FE437BB"/>
    <w:rsid w:val="1092235C"/>
    <w:rsid w:val="118D5501"/>
    <w:rsid w:val="129F0BB6"/>
    <w:rsid w:val="130D010A"/>
    <w:rsid w:val="13A42853"/>
    <w:rsid w:val="14ED2968"/>
    <w:rsid w:val="15126455"/>
    <w:rsid w:val="15871B5C"/>
    <w:rsid w:val="169750FB"/>
    <w:rsid w:val="16C219A3"/>
    <w:rsid w:val="16DE390D"/>
    <w:rsid w:val="179B5289"/>
    <w:rsid w:val="18A577E4"/>
    <w:rsid w:val="1941206D"/>
    <w:rsid w:val="19B80F6E"/>
    <w:rsid w:val="1C21621D"/>
    <w:rsid w:val="1CAD0994"/>
    <w:rsid w:val="1D253795"/>
    <w:rsid w:val="1D4A6D0F"/>
    <w:rsid w:val="1DA5638E"/>
    <w:rsid w:val="1E3E1D0D"/>
    <w:rsid w:val="1E984ADC"/>
    <w:rsid w:val="1ED9350C"/>
    <w:rsid w:val="1F472201"/>
    <w:rsid w:val="1FAA3851"/>
    <w:rsid w:val="1FBC2C9C"/>
    <w:rsid w:val="1FFA7EF5"/>
    <w:rsid w:val="208D1720"/>
    <w:rsid w:val="21BA7A96"/>
    <w:rsid w:val="21D23885"/>
    <w:rsid w:val="22394CD4"/>
    <w:rsid w:val="22F56BF1"/>
    <w:rsid w:val="24A86880"/>
    <w:rsid w:val="27736336"/>
    <w:rsid w:val="27E10833"/>
    <w:rsid w:val="288B0853"/>
    <w:rsid w:val="29DB2EB9"/>
    <w:rsid w:val="2A7045C4"/>
    <w:rsid w:val="2A7D2EF2"/>
    <w:rsid w:val="2ABD5F4E"/>
    <w:rsid w:val="2CBA45AA"/>
    <w:rsid w:val="2CCA2406"/>
    <w:rsid w:val="2CEE38D7"/>
    <w:rsid w:val="2DF90E26"/>
    <w:rsid w:val="2E8C68C1"/>
    <w:rsid w:val="30474809"/>
    <w:rsid w:val="30E23F6B"/>
    <w:rsid w:val="33CE0793"/>
    <w:rsid w:val="33ED7470"/>
    <w:rsid w:val="34CD49D6"/>
    <w:rsid w:val="34E42621"/>
    <w:rsid w:val="35723701"/>
    <w:rsid w:val="363870C8"/>
    <w:rsid w:val="37346F11"/>
    <w:rsid w:val="38994DE0"/>
    <w:rsid w:val="39744BB3"/>
    <w:rsid w:val="3A77363B"/>
    <w:rsid w:val="3A96260F"/>
    <w:rsid w:val="3AB274CA"/>
    <w:rsid w:val="3C5D16A0"/>
    <w:rsid w:val="3DAE1A1E"/>
    <w:rsid w:val="3DE16E67"/>
    <w:rsid w:val="3E304DF5"/>
    <w:rsid w:val="3F4158F9"/>
    <w:rsid w:val="400C61AC"/>
    <w:rsid w:val="422A188F"/>
    <w:rsid w:val="435B43F6"/>
    <w:rsid w:val="43E176AF"/>
    <w:rsid w:val="44C715EE"/>
    <w:rsid w:val="45393AF9"/>
    <w:rsid w:val="45751EA7"/>
    <w:rsid w:val="468A4D8B"/>
    <w:rsid w:val="474B1987"/>
    <w:rsid w:val="47691B42"/>
    <w:rsid w:val="477E733D"/>
    <w:rsid w:val="47E21FD2"/>
    <w:rsid w:val="4AD020EA"/>
    <w:rsid w:val="4B5E181D"/>
    <w:rsid w:val="4DED0341"/>
    <w:rsid w:val="4DFF62D6"/>
    <w:rsid w:val="4E54216E"/>
    <w:rsid w:val="4E9D63DD"/>
    <w:rsid w:val="4E9E163B"/>
    <w:rsid w:val="4EF80B0B"/>
    <w:rsid w:val="4EFE057C"/>
    <w:rsid w:val="4F7531EA"/>
    <w:rsid w:val="523D6212"/>
    <w:rsid w:val="53995CB0"/>
    <w:rsid w:val="550F781D"/>
    <w:rsid w:val="557C4EC1"/>
    <w:rsid w:val="55874162"/>
    <w:rsid w:val="56061B33"/>
    <w:rsid w:val="563673AF"/>
    <w:rsid w:val="56D2359D"/>
    <w:rsid w:val="571B05D1"/>
    <w:rsid w:val="57364CC8"/>
    <w:rsid w:val="579E445A"/>
    <w:rsid w:val="58803ECD"/>
    <w:rsid w:val="59F81385"/>
    <w:rsid w:val="5CB118A4"/>
    <w:rsid w:val="5D786D1A"/>
    <w:rsid w:val="5DAC6E75"/>
    <w:rsid w:val="5E0B1611"/>
    <w:rsid w:val="5F083BE3"/>
    <w:rsid w:val="5F7A5282"/>
    <w:rsid w:val="611F485D"/>
    <w:rsid w:val="61DF60BA"/>
    <w:rsid w:val="62713A30"/>
    <w:rsid w:val="62EE5586"/>
    <w:rsid w:val="635C3B4F"/>
    <w:rsid w:val="636C19F4"/>
    <w:rsid w:val="645929C8"/>
    <w:rsid w:val="646D51E6"/>
    <w:rsid w:val="65B200C0"/>
    <w:rsid w:val="69685A47"/>
    <w:rsid w:val="69873F2B"/>
    <w:rsid w:val="6B663A69"/>
    <w:rsid w:val="6BA47CE1"/>
    <w:rsid w:val="6C205B92"/>
    <w:rsid w:val="6C9A7713"/>
    <w:rsid w:val="6D1A16FB"/>
    <w:rsid w:val="6D780EF6"/>
    <w:rsid w:val="6DE23EC4"/>
    <w:rsid w:val="6EAB0E62"/>
    <w:rsid w:val="704907B8"/>
    <w:rsid w:val="70A65294"/>
    <w:rsid w:val="711C6850"/>
    <w:rsid w:val="711F1659"/>
    <w:rsid w:val="71CA4371"/>
    <w:rsid w:val="72874010"/>
    <w:rsid w:val="73CA1028"/>
    <w:rsid w:val="741E2260"/>
    <w:rsid w:val="747968F3"/>
    <w:rsid w:val="74F53913"/>
    <w:rsid w:val="75F74182"/>
    <w:rsid w:val="760C477D"/>
    <w:rsid w:val="76C467CF"/>
    <w:rsid w:val="77214A98"/>
    <w:rsid w:val="77DD37F3"/>
    <w:rsid w:val="78A20480"/>
    <w:rsid w:val="79CC67BB"/>
    <w:rsid w:val="7CBE2D25"/>
    <w:rsid w:val="7F4541F6"/>
    <w:rsid w:val="7F652623"/>
    <w:rsid w:val="7FC72F2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qFormat/>
    <w:uiPriority w:val="0"/>
  </w:style>
  <w:style w:type="table" w:customStyle="1" w:styleId="9">
    <w:name w:val="Table Normal"/>
    <w:semiHidden/>
    <w:unhideWhenUsed/>
    <w:qFormat/>
    <w:uiPriority w:val="0"/>
    <w:tblPr>
      <w:tblCellMar>
        <w:top w:w="0" w:type="dxa"/>
        <w:left w:w="0" w:type="dxa"/>
        <w:bottom w:w="0" w:type="dxa"/>
        <w:right w:w="0" w:type="dxa"/>
      </w:tblCellMar>
    </w:tblPr>
  </w:style>
  <w:style w:type="paragraph" w:customStyle="1" w:styleId="10">
    <w:name w:val="Body text|1"/>
    <w:basedOn w:val="1"/>
    <w:qFormat/>
    <w:uiPriority w:val="0"/>
    <w:pPr>
      <w:widowControl w:val="0"/>
      <w:shd w:val="clear" w:color="auto" w:fill="auto"/>
      <w:spacing w:line="442" w:lineRule="auto"/>
      <w:ind w:firstLine="400"/>
    </w:pPr>
    <w:rPr>
      <w:rFonts w:ascii="宋体" w:hAnsi="宋体" w:eastAsia="宋体" w:cs="宋体"/>
      <w:sz w:val="28"/>
      <w:szCs w:val="28"/>
      <w:u w:val="none"/>
      <w:shd w:val="clear" w:color="auto" w:fill="auto"/>
      <w:lang w:val="zh-TW" w:eastAsia="zh-TW" w:bidi="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Pages>
  <Words>3138</Words>
  <Characters>3251</Characters>
  <TotalTime>1</TotalTime>
  <ScaleCrop>false</ScaleCrop>
  <LinksUpToDate>false</LinksUpToDate>
  <CharactersWithSpaces>3334</CharactersWithSpaces>
  <Application>WPS Office_11.8.6.8810_F1E327BC-269C-435d-A152-05C5408002CA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2022-04-07T17:16:00Z</dcterms:created>
  <dc:creator>Kingsoft-PDF</dc:creator>
  <cp:keywords>2aa90f5c-edd1-415b-9228-60eda658b555</cp:keywords>
  <cp:lastModifiedBy>len</cp:lastModifiedBy>
  <dcterms:modified xsi:type="dcterms:W3CDTF">2022-05-05T07:53:38Z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wqlLaW5nc29mdCBQREYgdG8gV1BTIDcw</vt:lpwstr>
  </property>
  <property fmtid="{D5CDD505-2E9C-101B-9397-08002B2CF9AE}" pid="3" name="Created">
    <vt:filetime>2022-04-07T17:16:53Z</vt:filetime>
  </property>
  <property fmtid="{D5CDD505-2E9C-101B-9397-08002B2CF9AE}" pid="4" name="KSOProductBuildVer">
    <vt:lpwstr>2052-11.8.6.8810</vt:lpwstr>
  </property>
  <property fmtid="{D5CDD505-2E9C-101B-9397-08002B2CF9AE}" pid="5" name="ICV">
    <vt:lpwstr>8CCFDE69103F4987A2B009F71E84FFFA</vt:lpwstr>
  </property>
</Properties>
</file>