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outlineLvl w:val="9"/>
        <w:rPr>
          <w:rFonts w:hint="eastAsia" w:eastAsia="仿宋" w:asciiTheme="minorHAnsi" w:hAnsiTheme="minorHAnsi"/>
          <w:b/>
          <w:bCs/>
          <w:kern w:val="2"/>
          <w:sz w:val="28"/>
          <w:szCs w:val="28"/>
          <w:lang w:eastAsia="zh-CN"/>
        </w:rPr>
      </w:pPr>
      <w:bookmarkStart w:id="3" w:name="_GoBack"/>
      <w:bookmarkEnd w:id="3"/>
      <w:bookmarkStart w:id="0" w:name="_Hlk23253334"/>
      <w:bookmarkStart w:id="1" w:name="_Toc447125208"/>
      <w:r>
        <w:rPr>
          <w:rFonts w:hint="eastAsia" w:eastAsia="仿宋" w:asciiTheme="minorHAnsi" w:hAnsiTheme="minorHAnsi"/>
          <w:b/>
          <w:bCs/>
          <w:kern w:val="2"/>
          <w:sz w:val="28"/>
          <w:szCs w:val="28"/>
          <w:lang w:eastAsia="zh-CN"/>
        </w:rPr>
        <w:t>曲靖市麒麟区自然资源局拟对麒麟区东山镇大山采石场采矿权进行竞争性出让所涉及的麒麟区东山镇大山采石场采矿权</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outlineLvl w:val="9"/>
        <w:rPr>
          <w:rFonts w:eastAsia="仿宋" w:asciiTheme="minorHAnsi" w:hAnsiTheme="minorHAnsi"/>
          <w:b/>
          <w:bCs/>
          <w:kern w:val="2"/>
          <w:sz w:val="28"/>
          <w:szCs w:val="28"/>
          <w:lang w:eastAsia="zh-CN"/>
        </w:rPr>
      </w:pPr>
      <w:r>
        <w:rPr>
          <w:rFonts w:hint="eastAsia" w:eastAsia="仿宋" w:asciiTheme="minorHAnsi" w:hAnsiTheme="minorHAnsi"/>
          <w:b/>
          <w:bCs/>
          <w:kern w:val="2"/>
          <w:sz w:val="28"/>
          <w:szCs w:val="28"/>
          <w:lang w:eastAsia="zh-CN"/>
        </w:rPr>
        <w:t>涉矿相关资产市场价值</w:t>
      </w:r>
    </w:p>
    <w:bookmarkEnd w:id="0"/>
    <w:p>
      <w:pPr>
        <w:pStyle w:val="3"/>
        <w:keepNext w:val="0"/>
        <w:keepLines w:val="0"/>
        <w:pageBreakBefore w:val="0"/>
        <w:widowControl/>
        <w:kinsoku/>
        <w:wordWrap/>
        <w:overflowPunct/>
        <w:topLinePunct w:val="0"/>
        <w:autoSpaceDE/>
        <w:autoSpaceDN/>
        <w:bidi w:val="0"/>
        <w:adjustRightInd/>
        <w:snapToGrid/>
        <w:spacing w:before="0" w:line="440" w:lineRule="exact"/>
        <w:jc w:val="center"/>
        <w:textAlignment w:val="auto"/>
        <w:rPr>
          <w:rFonts w:eastAsia="仿宋" w:asciiTheme="minorHAnsi" w:hAnsiTheme="minorHAnsi"/>
          <w:b/>
          <w:bCs/>
          <w:kern w:val="2"/>
          <w:sz w:val="28"/>
          <w:szCs w:val="28"/>
          <w:lang w:eastAsia="zh-CN"/>
        </w:rPr>
      </w:pPr>
      <w:bookmarkStart w:id="2" w:name="_Toc18050"/>
      <w:r>
        <w:rPr>
          <w:rFonts w:hint="eastAsia" w:eastAsia="仿宋" w:asciiTheme="minorHAnsi" w:hAnsiTheme="minorHAnsi"/>
          <w:b/>
          <w:bCs/>
          <w:kern w:val="2"/>
          <w:sz w:val="28"/>
          <w:szCs w:val="28"/>
          <w:lang w:eastAsia="zh-CN"/>
        </w:rPr>
        <w:t>资产评估报告摘要</w:t>
      </w:r>
      <w:bookmarkEnd w:id="1"/>
      <w:bookmarkEnd w:id="2"/>
    </w:p>
    <w:p>
      <w:pPr>
        <w:adjustRightInd w:val="0"/>
        <w:snapToGrid w:val="0"/>
        <w:spacing w:after="100" w:line="240" w:lineRule="auto"/>
        <w:jc w:val="center"/>
        <w:rPr>
          <w:rFonts w:eastAsia="仿宋" w:asciiTheme="minorHAnsi" w:hAnsiTheme="minorHAnsi"/>
          <w:spacing w:val="18"/>
          <w:sz w:val="21"/>
          <w:szCs w:val="21"/>
          <w:lang w:eastAsia="zh-CN"/>
        </w:rPr>
      </w:pPr>
      <w:r>
        <w:rPr>
          <w:rFonts w:hint="eastAsia" w:eastAsia="仿宋" w:asciiTheme="minorHAnsi" w:hAnsiTheme="minorHAnsi"/>
          <w:spacing w:val="18"/>
          <w:sz w:val="21"/>
          <w:szCs w:val="21"/>
          <w:lang w:eastAsia="zh-CN"/>
        </w:rPr>
        <w:t>鹏信资估报字[2022]第YKM055号</w:t>
      </w:r>
    </w:p>
    <w:tbl>
      <w:tblPr>
        <w:tblStyle w:val="13"/>
        <w:tblW w:w="8130"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
      <w:tblGrid>
        <w:gridCol w:w="81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2F2F2"/>
          <w:tblLayout w:type="fixed"/>
          <w:tblCellMar>
            <w:top w:w="0" w:type="dxa"/>
            <w:left w:w="108" w:type="dxa"/>
            <w:bottom w:w="0" w:type="dxa"/>
            <w:right w:w="108" w:type="dxa"/>
          </w:tblCellMar>
        </w:tblPrEx>
        <w:tc>
          <w:tcPr>
            <w:tcW w:w="8130" w:type="dxa"/>
            <w:shd w:val="clear" w:color="auto" w:fill="F2F2F2"/>
          </w:tcPr>
          <w:p>
            <w:pPr>
              <w:spacing w:after="0" w:line="0" w:lineRule="atLeast"/>
              <w:jc w:val="both"/>
              <w:rPr>
                <w:rFonts w:ascii="华文楷体" w:hAnsi="华文楷体" w:eastAsia="华文楷体" w:cs="Arial"/>
                <w:color w:val="000000"/>
                <w:szCs w:val="21"/>
                <w:lang w:eastAsia="zh-CN"/>
              </w:rPr>
            </w:pPr>
            <w:r>
              <w:rPr>
                <w:rFonts w:hint="eastAsia" w:eastAsia="仿宋" w:cs="Arial" w:asciiTheme="minorHAnsi" w:hAnsiTheme="minorHAnsi"/>
                <w:b/>
                <w:color w:val="000000"/>
                <w:sz w:val="21"/>
                <w:szCs w:val="21"/>
                <w:lang w:eastAsia="zh-CN"/>
              </w:rPr>
              <w:t>谨提请本资产评估报告摘要之使用者和阅读者注意</w:t>
            </w:r>
            <w:r>
              <w:rPr>
                <w:rFonts w:hint="eastAsia" w:eastAsia="仿宋" w:cs="Arial" w:asciiTheme="minorHAnsi" w:hAnsiTheme="minorHAnsi"/>
                <w:color w:val="000000"/>
                <w:sz w:val="21"/>
                <w:szCs w:val="21"/>
                <w:lang w:eastAsia="zh-CN"/>
              </w:rPr>
              <w:t>：本资产评估报告摘要之内容摘自资产评估报告正文，欲了解本评估项目的详细情况和合理理解评估结论，应当详细阅读资产评估报告全文。</w:t>
            </w:r>
          </w:p>
        </w:tc>
      </w:tr>
    </w:tbl>
    <w:p>
      <w:pPr>
        <w:widowControl w:val="0"/>
        <w:spacing w:before="156" w:beforeLines="50" w:after="0" w:line="240" w:lineRule="auto"/>
        <w:ind w:firstLine="504" w:firstLineChars="200"/>
        <w:jc w:val="both"/>
        <w:rPr>
          <w:rFonts w:ascii="Calibri" w:hAnsi="Calibri" w:eastAsia="仿宋"/>
          <w:sz w:val="24"/>
          <w:szCs w:val="24"/>
          <w:lang w:eastAsia="zh-CN"/>
        </w:rPr>
      </w:pPr>
      <w:r>
        <w:rPr>
          <w:rFonts w:hint="eastAsia" w:ascii="Calibri" w:hAnsi="Calibri" w:eastAsia="仿宋"/>
          <w:spacing w:val="6"/>
          <w:sz w:val="24"/>
          <w:szCs w:val="24"/>
          <w:lang w:eastAsia="zh-CN"/>
        </w:rPr>
        <w:t>深圳市鹏信资产评估土地房地产估价有限公司接受曲靖市麒麟区自然资源局</w:t>
      </w:r>
      <w:r>
        <w:rPr>
          <w:rFonts w:hint="eastAsia" w:ascii="Calibri" w:hAnsi="Calibri" w:eastAsia="仿宋"/>
          <w:spacing w:val="6"/>
          <w:sz w:val="24"/>
          <w:szCs w:val="24"/>
          <w:lang w:val="en-US" w:eastAsia="zh-CN"/>
        </w:rPr>
        <w:t>的委托</w:t>
      </w:r>
      <w:r>
        <w:rPr>
          <w:rFonts w:hint="eastAsia" w:ascii="Calibri" w:hAnsi="Calibri" w:eastAsia="仿宋"/>
          <w:spacing w:val="6"/>
          <w:sz w:val="24"/>
          <w:szCs w:val="24"/>
          <w:lang w:eastAsia="zh-CN"/>
        </w:rPr>
        <w:t>，就曲靖市麒麟区自然资源局拟对麒麟区东山镇大山采石场采矿权进行竞争性出让之经济行为所涉及的麒麟区东山镇大山采石场采矿权涉矿相关资产</w:t>
      </w:r>
      <w:r>
        <w:rPr>
          <w:rFonts w:hint="eastAsia" w:ascii="仿宋" w:hAnsi="仿宋" w:eastAsia="仿宋"/>
          <w:spacing w:val="6"/>
          <w:sz w:val="24"/>
          <w:szCs w:val="24"/>
          <w:lang w:eastAsia="zh-CN"/>
        </w:rPr>
        <w:t>在评估基准日的市场价值进行了评估</w:t>
      </w:r>
      <w:r>
        <w:rPr>
          <w:rFonts w:hint="eastAsia" w:ascii="Calibri" w:hAnsi="Calibri" w:eastAsia="仿宋"/>
          <w:spacing w:val="6"/>
          <w:sz w:val="24"/>
          <w:szCs w:val="24"/>
          <w:lang w:eastAsia="zh-CN"/>
        </w:rPr>
        <w:t>，现将评估报告正文的相关内容摘要如下：</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一、评估目的：</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Calibri" w:hAnsi="Calibri" w:eastAsia="仿宋"/>
          <w:spacing w:val="6"/>
          <w:sz w:val="24"/>
          <w:szCs w:val="24"/>
          <w:lang w:eastAsia="zh-CN"/>
        </w:rPr>
        <w:t>麒麟区东山镇大山采石场采矿权</w:t>
      </w:r>
      <w:r>
        <w:rPr>
          <w:rFonts w:hint="eastAsia" w:ascii="Calibri" w:hAnsi="Calibri" w:eastAsia="仿宋"/>
          <w:sz w:val="24"/>
          <w:szCs w:val="24"/>
          <w:lang w:eastAsia="zh-CN"/>
        </w:rPr>
        <w:t>”进行竞争性出让，为此，</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委托深圳市鹏信资产评估土地房地产估价有限公司对此经济行为涉及的</w:t>
      </w:r>
      <w:r>
        <w:rPr>
          <w:rFonts w:hint="eastAsia" w:ascii="Calibri" w:hAnsi="Calibri" w:eastAsia="仿宋"/>
          <w:spacing w:val="6"/>
          <w:sz w:val="24"/>
          <w:szCs w:val="24"/>
          <w:lang w:eastAsia="zh-CN"/>
        </w:rPr>
        <w:t>麒麟区东山镇大山采石场</w:t>
      </w:r>
      <w:r>
        <w:rPr>
          <w:rFonts w:hint="eastAsia" w:ascii="Calibri" w:hAnsi="Calibri" w:eastAsia="仿宋"/>
          <w:sz w:val="24"/>
          <w:szCs w:val="24"/>
          <w:lang w:eastAsia="zh-CN"/>
        </w:rPr>
        <w:t>采矿权涉矿相关资产的价值进行评估，为上述经济行为提供价值参考。</w:t>
      </w:r>
    </w:p>
    <w:p>
      <w:pPr>
        <w:widowControl w:val="0"/>
        <w:spacing w:before="156" w:beforeLines="50" w:after="0" w:line="240" w:lineRule="auto"/>
        <w:ind w:firstLine="480" w:firstLineChars="200"/>
        <w:jc w:val="both"/>
        <w:rPr>
          <w:rFonts w:ascii="仿宋" w:hAnsi="仿宋" w:eastAsia="仿宋"/>
          <w:sz w:val="24"/>
          <w:lang w:eastAsia="zh-CN"/>
        </w:rPr>
      </w:pPr>
      <w:r>
        <w:rPr>
          <w:rFonts w:hint="eastAsia" w:ascii="Calibri" w:hAnsi="Calibri" w:eastAsia="仿宋"/>
          <w:sz w:val="24"/>
          <w:szCs w:val="24"/>
          <w:lang w:eastAsia="zh-CN"/>
        </w:rPr>
        <w:t>二、评估对象：麒麟区东山镇大山采石场采矿权涉矿相关资产</w:t>
      </w:r>
      <w:r>
        <w:rPr>
          <w:rFonts w:hint="eastAsia" w:ascii="仿宋" w:hAnsi="仿宋" w:eastAsia="仿宋"/>
          <w:sz w:val="24"/>
          <w:lang w:eastAsia="zh-CN"/>
        </w:rPr>
        <w:t>;评估范围：云南云苑建材有限责任公司在麒麟区东山镇大山采石场采矿权矿区范围内前期投入的土地租赁费用。</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三、评估基准日：</w:t>
      </w:r>
      <w:r>
        <w:rPr>
          <w:rFonts w:hint="default" w:ascii="Calibri" w:hAnsi="Calibri" w:eastAsia="仿宋" w:cs="Calibri"/>
          <w:sz w:val="24"/>
          <w:szCs w:val="24"/>
          <w:lang w:eastAsia="zh-CN"/>
        </w:rPr>
        <w:t>202</w:t>
      </w:r>
      <w:r>
        <w:rPr>
          <w:rFonts w:hint="default" w:ascii="Calibri" w:hAnsi="Calibri" w:eastAsia="仿宋" w:cs="Calibri"/>
          <w:sz w:val="24"/>
          <w:szCs w:val="24"/>
          <w:lang w:val="en-US" w:eastAsia="zh-CN"/>
        </w:rPr>
        <w:t>2</w:t>
      </w:r>
      <w:r>
        <w:rPr>
          <w:rFonts w:hint="eastAsia" w:ascii="Calibri" w:hAnsi="Calibri" w:eastAsia="仿宋"/>
          <w:sz w:val="24"/>
          <w:szCs w:val="24"/>
          <w:lang w:eastAsia="zh-CN"/>
        </w:rPr>
        <w:t>年</w:t>
      </w:r>
      <w:r>
        <w:rPr>
          <w:rFonts w:hint="default" w:ascii="Calibri" w:hAnsi="Calibri" w:eastAsia="仿宋" w:cs="Calibri"/>
          <w:sz w:val="24"/>
          <w:szCs w:val="24"/>
          <w:lang w:val="en-US" w:eastAsia="zh-CN"/>
        </w:rPr>
        <w:t>04</w:t>
      </w:r>
      <w:r>
        <w:rPr>
          <w:rFonts w:hint="eastAsia" w:ascii="Calibri" w:hAnsi="Calibri" w:eastAsia="仿宋"/>
          <w:sz w:val="24"/>
          <w:szCs w:val="24"/>
          <w:lang w:eastAsia="zh-CN"/>
        </w:rPr>
        <w:t>月</w:t>
      </w:r>
      <w:r>
        <w:rPr>
          <w:rFonts w:hint="default" w:ascii="Calibri" w:hAnsi="Calibri" w:eastAsia="仿宋" w:cs="Calibri"/>
          <w:sz w:val="24"/>
          <w:szCs w:val="24"/>
          <w:lang w:eastAsia="zh-CN"/>
        </w:rPr>
        <w:t>3</w:t>
      </w:r>
      <w:r>
        <w:rPr>
          <w:rFonts w:hint="default" w:ascii="Calibri" w:hAnsi="Calibri" w:eastAsia="仿宋" w:cs="Calibri"/>
          <w:sz w:val="24"/>
          <w:szCs w:val="24"/>
          <w:lang w:val="en-US" w:eastAsia="zh-CN"/>
        </w:rPr>
        <w:t>0</w:t>
      </w:r>
      <w:r>
        <w:rPr>
          <w:rFonts w:hint="eastAsia" w:ascii="Calibri" w:hAnsi="Calibri" w:eastAsia="仿宋"/>
          <w:sz w:val="24"/>
          <w:szCs w:val="24"/>
          <w:lang w:eastAsia="zh-CN"/>
        </w:rPr>
        <w:t>日。</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四、价值类型：市场价值。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五、评估方法：本次评估根据涉矿相关资产的具体情况采用成本法进行评估，并对涉矿相关资产的评估结果进行汇总，以此确定市场价值。</w:t>
      </w:r>
    </w:p>
    <w:p>
      <w:pPr>
        <w:widowControl w:val="0"/>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六、评估结论：</w:t>
      </w:r>
    </w:p>
    <w:p>
      <w:pPr>
        <w:spacing w:before="156" w:beforeLines="50" w:after="0" w:line="240" w:lineRule="auto"/>
        <w:ind w:firstLine="480" w:firstLineChars="200"/>
        <w:jc w:val="both"/>
        <w:rPr>
          <w:rFonts w:ascii="Calibri" w:hAnsi="Calibri" w:eastAsia="仿宋"/>
          <w:sz w:val="24"/>
          <w:szCs w:val="24"/>
          <w:lang w:eastAsia="zh-CN"/>
        </w:rPr>
      </w:pPr>
      <w:r>
        <w:rPr>
          <w:rFonts w:hint="eastAsia" w:ascii="Calibri" w:hAnsi="Calibri" w:eastAsia="仿宋"/>
          <w:sz w:val="24"/>
          <w:szCs w:val="24"/>
          <w:lang w:eastAsia="zh-CN"/>
        </w:rPr>
        <w:t>采用成本法评估</w:t>
      </w:r>
      <w:r>
        <w:rPr>
          <w:rFonts w:hint="eastAsia" w:ascii="Calibri" w:hAnsi="Calibri" w:eastAsia="仿宋"/>
          <w:spacing w:val="6"/>
          <w:sz w:val="24"/>
          <w:szCs w:val="24"/>
          <w:lang w:eastAsia="zh-CN"/>
        </w:rPr>
        <w:t>曲靖市麒麟区自然资源局</w:t>
      </w:r>
      <w:r>
        <w:rPr>
          <w:rFonts w:hint="eastAsia" w:ascii="Calibri" w:hAnsi="Calibri" w:eastAsia="仿宋"/>
          <w:sz w:val="24"/>
          <w:szCs w:val="24"/>
          <w:lang w:eastAsia="zh-CN"/>
        </w:rPr>
        <w:t>拟对“</w:t>
      </w:r>
      <w:r>
        <w:rPr>
          <w:rFonts w:hint="eastAsia" w:ascii="仿宋" w:hAnsi="仿宋" w:eastAsia="仿宋"/>
          <w:sz w:val="24"/>
          <w:lang w:eastAsia="zh-CN"/>
        </w:rPr>
        <w:t>麒麟区东山镇大山采石场采矿权</w:t>
      </w:r>
      <w:r>
        <w:rPr>
          <w:rFonts w:hint="eastAsia" w:ascii="Calibri" w:hAnsi="Calibri" w:eastAsia="仿宋"/>
          <w:sz w:val="24"/>
          <w:szCs w:val="24"/>
          <w:lang w:eastAsia="zh-CN"/>
        </w:rPr>
        <w:t>”进行竞争性出让</w:t>
      </w:r>
      <w:r>
        <w:rPr>
          <w:rFonts w:hint="eastAsia" w:ascii="Calibri" w:hAnsi="Calibri" w:eastAsia="仿宋"/>
          <w:sz w:val="24"/>
          <w:szCs w:val="24"/>
          <w:lang w:val="en-US" w:eastAsia="zh-CN"/>
        </w:rPr>
        <w:t>之经济行为</w:t>
      </w:r>
      <w:r>
        <w:rPr>
          <w:rFonts w:hint="eastAsia" w:ascii="Calibri" w:hAnsi="Calibri" w:eastAsia="仿宋"/>
          <w:sz w:val="24"/>
          <w:szCs w:val="24"/>
          <w:lang w:eastAsia="zh-CN"/>
        </w:rPr>
        <w:t>所涉及的</w:t>
      </w:r>
      <w:r>
        <w:rPr>
          <w:rFonts w:hint="eastAsia" w:ascii="仿宋" w:hAnsi="仿宋" w:eastAsia="仿宋"/>
          <w:sz w:val="24"/>
          <w:lang w:eastAsia="zh-CN"/>
        </w:rPr>
        <w:t>麒麟区东山镇大山采石场采矿权</w:t>
      </w:r>
      <w:r>
        <w:rPr>
          <w:rFonts w:hint="eastAsia" w:ascii="Calibri" w:hAnsi="Calibri" w:eastAsia="仿宋"/>
          <w:sz w:val="24"/>
          <w:szCs w:val="24"/>
          <w:lang w:eastAsia="zh-CN"/>
        </w:rPr>
        <w:t>涉矿相关资产市场价值于评估基准日的评估值为：</w:t>
      </w:r>
      <w:r>
        <w:rPr>
          <w:rFonts w:hint="eastAsia" w:eastAsia="仿宋" w:asciiTheme="minorHAnsi" w:hAnsiTheme="minorHAnsi"/>
          <w:sz w:val="24"/>
          <w:szCs w:val="24"/>
          <w:lang w:eastAsia="zh-CN"/>
        </w:rPr>
        <w:t>146.50</w:t>
      </w:r>
      <w:r>
        <w:rPr>
          <w:rFonts w:hint="eastAsia" w:eastAsia="仿宋" w:asciiTheme="minorHAnsi" w:hAnsiTheme="minorHAnsi"/>
          <w:sz w:val="24"/>
          <w:szCs w:val="24"/>
          <w:highlight w:val="none"/>
          <w:lang w:eastAsia="zh-CN"/>
        </w:rPr>
        <w:t>万元人民币(大写：人民币【</w:t>
      </w:r>
      <w:r>
        <w:rPr>
          <w:rFonts w:hint="eastAsia" w:eastAsia="仿宋" w:asciiTheme="minorHAnsi" w:hAnsiTheme="minorHAnsi"/>
          <w:sz w:val="24"/>
          <w:szCs w:val="24"/>
          <w:highlight w:val="none"/>
          <w:lang w:val="en-US" w:eastAsia="zh-CN"/>
        </w:rPr>
        <w:t>壹佰肆拾陆万伍仟</w:t>
      </w:r>
      <w:r>
        <w:rPr>
          <w:rFonts w:hint="eastAsia" w:eastAsia="仿宋" w:asciiTheme="minorHAnsi" w:hAnsiTheme="minorHAnsi"/>
          <w:sz w:val="24"/>
          <w:szCs w:val="24"/>
          <w:highlight w:val="none"/>
          <w:lang w:eastAsia="zh-CN"/>
        </w:rPr>
        <w:t>】元整)</w:t>
      </w:r>
      <w:r>
        <w:rPr>
          <w:rFonts w:hint="eastAsia" w:ascii="Calibri" w:hAnsi="Calibri" w:eastAsia="仿宋"/>
          <w:sz w:val="24"/>
          <w:szCs w:val="24"/>
          <w:highlight w:val="none"/>
          <w:lang w:eastAsia="zh-CN"/>
        </w:rPr>
        <w:t>。</w:t>
      </w:r>
    </w:p>
    <w:p>
      <w:pPr>
        <w:spacing w:before="156" w:beforeLines="50" w:after="0" w:line="240" w:lineRule="auto"/>
        <w:ind w:firstLine="480" w:firstLineChars="200"/>
        <w:jc w:val="both"/>
        <w:rPr>
          <w:rFonts w:hint="eastAsia" w:ascii="Calibri" w:hAnsi="Calibri" w:eastAsia="仿宋"/>
          <w:sz w:val="24"/>
          <w:szCs w:val="24"/>
          <w:lang w:eastAsia="zh-CN"/>
        </w:rPr>
      </w:pPr>
      <w:r>
        <w:rPr>
          <w:rFonts w:hint="eastAsia" w:ascii="Calibri" w:hAnsi="Calibri" w:eastAsia="仿宋"/>
          <w:sz w:val="24"/>
          <w:szCs w:val="24"/>
          <w:lang w:eastAsia="zh-CN"/>
        </w:rPr>
        <w:t>评估结论使用有效期：通常情况下，评估结论的使用有效期自评估基准日</w:t>
      </w:r>
      <w:r>
        <w:rPr>
          <w:rFonts w:hint="default" w:ascii="Calibri" w:hAnsi="Calibri" w:eastAsia="仿宋" w:cs="Calibri"/>
          <w:sz w:val="24"/>
          <w:szCs w:val="24"/>
          <w:lang w:eastAsia="zh-CN"/>
        </w:rPr>
        <w:t>202</w:t>
      </w:r>
      <w:r>
        <w:rPr>
          <w:rFonts w:hint="default" w:ascii="Calibri" w:hAnsi="Calibri" w:eastAsia="仿宋" w:cs="Calibri"/>
          <w:sz w:val="24"/>
          <w:szCs w:val="24"/>
          <w:lang w:val="en-US" w:eastAsia="zh-CN"/>
        </w:rPr>
        <w:t>2</w:t>
      </w:r>
      <w:r>
        <w:rPr>
          <w:rFonts w:hint="eastAsia" w:ascii="Calibri" w:hAnsi="Calibri" w:eastAsia="仿宋"/>
          <w:sz w:val="24"/>
          <w:szCs w:val="24"/>
          <w:lang w:eastAsia="zh-CN"/>
        </w:rPr>
        <w:t>年</w:t>
      </w:r>
      <w:r>
        <w:rPr>
          <w:rFonts w:hint="default" w:ascii="Calibri" w:hAnsi="Calibri" w:eastAsia="仿宋" w:cs="Calibri"/>
          <w:sz w:val="24"/>
          <w:szCs w:val="24"/>
          <w:lang w:val="en-US" w:eastAsia="zh-CN"/>
        </w:rPr>
        <w:t>04</w:t>
      </w:r>
      <w:r>
        <w:rPr>
          <w:rFonts w:hint="eastAsia" w:ascii="Calibri" w:hAnsi="Calibri" w:eastAsia="仿宋"/>
          <w:sz w:val="24"/>
          <w:szCs w:val="24"/>
          <w:lang w:eastAsia="zh-CN"/>
        </w:rPr>
        <w:t>月</w:t>
      </w:r>
      <w:r>
        <w:rPr>
          <w:rFonts w:hint="default" w:ascii="Calibri" w:hAnsi="Calibri" w:eastAsia="仿宋" w:cs="Calibri"/>
          <w:sz w:val="24"/>
          <w:szCs w:val="24"/>
          <w:lang w:eastAsia="zh-CN"/>
        </w:rPr>
        <w:t>3</w:t>
      </w:r>
      <w:r>
        <w:rPr>
          <w:rFonts w:hint="default" w:ascii="Calibri" w:hAnsi="Calibri" w:eastAsia="仿宋" w:cs="Calibri"/>
          <w:sz w:val="24"/>
          <w:szCs w:val="24"/>
          <w:lang w:val="en-US" w:eastAsia="zh-CN"/>
        </w:rPr>
        <w:t>0</w:t>
      </w:r>
      <w:r>
        <w:rPr>
          <w:rFonts w:hint="eastAsia" w:ascii="Calibri" w:hAnsi="Calibri" w:eastAsia="仿宋"/>
          <w:sz w:val="24"/>
          <w:szCs w:val="24"/>
          <w:lang w:eastAsia="zh-CN"/>
        </w:rPr>
        <w:t>日至</w:t>
      </w:r>
      <w:r>
        <w:rPr>
          <w:rFonts w:hint="default" w:ascii="Calibri" w:hAnsi="Calibri" w:eastAsia="仿宋" w:cs="Calibri"/>
          <w:sz w:val="24"/>
          <w:szCs w:val="24"/>
          <w:lang w:eastAsia="zh-CN"/>
        </w:rPr>
        <w:t>202</w:t>
      </w:r>
      <w:r>
        <w:rPr>
          <w:rFonts w:hint="default" w:ascii="Calibri" w:hAnsi="Calibri" w:eastAsia="仿宋" w:cs="Calibri"/>
          <w:sz w:val="24"/>
          <w:szCs w:val="24"/>
          <w:lang w:val="en-US" w:eastAsia="zh-CN"/>
        </w:rPr>
        <w:t>3</w:t>
      </w:r>
      <w:r>
        <w:rPr>
          <w:rFonts w:hint="eastAsia" w:ascii="Calibri" w:hAnsi="Calibri" w:eastAsia="仿宋"/>
          <w:sz w:val="24"/>
          <w:szCs w:val="24"/>
          <w:lang w:eastAsia="zh-CN"/>
        </w:rPr>
        <w:t>年</w:t>
      </w:r>
      <w:r>
        <w:rPr>
          <w:rFonts w:hint="default" w:ascii="Calibri" w:hAnsi="Calibri" w:eastAsia="仿宋" w:cs="Calibri"/>
          <w:sz w:val="24"/>
          <w:szCs w:val="24"/>
          <w:lang w:val="en-US" w:eastAsia="zh-CN"/>
        </w:rPr>
        <w:t>04</w:t>
      </w:r>
      <w:r>
        <w:rPr>
          <w:rFonts w:hint="eastAsia" w:ascii="Calibri" w:hAnsi="Calibri" w:eastAsia="仿宋"/>
          <w:sz w:val="24"/>
          <w:szCs w:val="24"/>
          <w:lang w:eastAsia="zh-CN"/>
        </w:rPr>
        <w:t>月</w:t>
      </w:r>
      <w:r>
        <w:rPr>
          <w:rFonts w:hint="default" w:ascii="Calibri" w:hAnsi="Calibri" w:eastAsia="仿宋" w:cs="Calibri"/>
          <w:sz w:val="24"/>
          <w:szCs w:val="24"/>
          <w:lang w:val="en-US" w:eastAsia="zh-CN"/>
        </w:rPr>
        <w:t>29</w:t>
      </w:r>
      <w:r>
        <w:rPr>
          <w:rFonts w:hint="eastAsia" w:ascii="Calibri" w:hAnsi="Calibri" w:eastAsia="仿宋"/>
          <w:sz w:val="24"/>
          <w:szCs w:val="24"/>
          <w:lang w:eastAsia="zh-CN"/>
        </w:rPr>
        <w:t>日止。</w:t>
      </w:r>
    </w:p>
    <w:sectPr>
      <w:headerReference r:id="rId3" w:type="default"/>
      <w:footerReference r:id="rId4" w:type="default"/>
      <w:pgSz w:w="11906" w:h="16838"/>
      <w:pgMar w:top="1560" w:right="1800" w:bottom="1134" w:left="1800" w:header="426" w:footer="34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top w:val="single" w:color="auto" w:sz="6" w:space="7"/>
                            </w:pBdr>
                            <w:jc w:val="both"/>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eastAsia="华文仿宋" w:asciiTheme="minorHAnsi" w:hAnsiTheme="minorHAnsi"/>
                              <w:lang w:eastAsia="zh-CN"/>
                            </w:rPr>
                            <w:fldChar w:fldCharType="begin"/>
                          </w:r>
                          <w:r>
                            <w:rPr>
                              <w:rFonts w:eastAsia="华文仿宋" w:asciiTheme="minorHAnsi" w:hAnsiTheme="minorHAnsi"/>
                              <w:lang w:eastAsia="zh-CN"/>
                            </w:rPr>
                            <w:instrText xml:space="preserve"> PAGE   \* MERGEFORMAT </w:instrText>
                          </w:r>
                          <w:r>
                            <w:rPr>
                              <w:rFonts w:eastAsia="华文仿宋" w:asciiTheme="minorHAnsi" w:hAnsiTheme="minorHAnsi"/>
                              <w:lang w:eastAsia="zh-CN"/>
                            </w:rPr>
                            <w:fldChar w:fldCharType="separate"/>
                          </w:r>
                          <w:r>
                            <w:rPr>
                              <w:rFonts w:eastAsia="华文仿宋" w:asciiTheme="minorHAnsi" w:hAnsiTheme="minorHAnsi"/>
                              <w:lang w:val="zh-CN" w:eastAsia="zh-CN"/>
                            </w:rPr>
                            <w:t>15</w:t>
                          </w:r>
                          <w:r>
                            <w:rPr>
                              <w:rFonts w:eastAsia="华文仿宋" w:asciiTheme="minorHAnsi" w:hAnsiTheme="minorHAnsi"/>
                              <w:lang w:eastAsia="zh-CN"/>
                            </w:rPr>
                            <w:fldChar w:fldCharType="end"/>
                          </w:r>
                          <w:r>
                            <w:rPr>
                              <w:rFonts w:hint="eastAsia" w:ascii="Calibri" w:hAnsi="Calibri" w:eastAsia="仿宋"/>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8"/>
                      <w:pBdr>
                        <w:top w:val="single" w:color="auto" w:sz="6" w:space="7"/>
                      </w:pBdr>
                      <w:jc w:val="both"/>
                    </w:pPr>
                    <w:r>
                      <w:rPr>
                        <w:rFonts w:eastAsia="华文仿宋" w:asciiTheme="minorHAnsi" w:hAnsiTheme="minorHAnsi"/>
                        <w:lang w:eastAsia="zh-CN"/>
                      </w:rPr>
                      <w:t>©</w:t>
                    </w:r>
                    <w:r>
                      <w:rPr>
                        <w:rFonts w:hint="eastAsia" w:eastAsia="华文仿宋" w:asciiTheme="minorHAnsi" w:hAnsiTheme="minorHAnsi"/>
                        <w:lang w:eastAsia="zh-CN"/>
                      </w:rPr>
                      <w:t xml:space="preserve">深圳市鹏信资产评估土地房地产估价有限公司                                              </w:t>
                    </w:r>
                    <w:r>
                      <w:rPr>
                        <w:rFonts w:eastAsia="华文仿宋" w:asciiTheme="minorHAnsi" w:hAnsiTheme="minorHAnsi"/>
                        <w:lang w:eastAsia="zh-CN"/>
                      </w:rPr>
                      <w:fldChar w:fldCharType="begin"/>
                    </w:r>
                    <w:r>
                      <w:rPr>
                        <w:rFonts w:eastAsia="华文仿宋" w:asciiTheme="minorHAnsi" w:hAnsiTheme="minorHAnsi"/>
                        <w:lang w:eastAsia="zh-CN"/>
                      </w:rPr>
                      <w:instrText xml:space="preserve"> PAGE   \* MERGEFORMAT </w:instrText>
                    </w:r>
                    <w:r>
                      <w:rPr>
                        <w:rFonts w:eastAsia="华文仿宋" w:asciiTheme="minorHAnsi" w:hAnsiTheme="minorHAnsi"/>
                        <w:lang w:eastAsia="zh-CN"/>
                      </w:rPr>
                      <w:fldChar w:fldCharType="separate"/>
                    </w:r>
                    <w:r>
                      <w:rPr>
                        <w:rFonts w:eastAsia="华文仿宋" w:asciiTheme="minorHAnsi" w:hAnsiTheme="minorHAnsi"/>
                        <w:lang w:val="zh-CN" w:eastAsia="zh-CN"/>
                      </w:rPr>
                      <w:t>15</w:t>
                    </w:r>
                    <w:r>
                      <w:rPr>
                        <w:rFonts w:eastAsia="华文仿宋" w:asciiTheme="minorHAnsi" w:hAnsiTheme="minorHAnsi"/>
                        <w:lang w:eastAsia="zh-CN"/>
                      </w:rPr>
                      <w:fldChar w:fldCharType="end"/>
                    </w:r>
                    <w:r>
                      <w:rPr>
                        <w:rFonts w:hint="eastAsia" w:ascii="Calibri" w:hAnsi="Calibri" w:eastAsia="仿宋"/>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8522" w:type="dxa"/>
      <w:tblInd w:w="0" w:type="dxa"/>
      <w:tblLayout w:type="fixed"/>
      <w:tblCellMar>
        <w:top w:w="0" w:type="dxa"/>
        <w:left w:w="108" w:type="dxa"/>
        <w:bottom w:w="0" w:type="dxa"/>
        <w:right w:w="108" w:type="dxa"/>
      </w:tblCellMar>
    </w:tblPr>
    <w:tblGrid>
      <w:gridCol w:w="1096"/>
      <w:gridCol w:w="7426"/>
    </w:tblGrid>
    <w:tr>
      <w:tblPrEx>
        <w:tblLayout w:type="fixed"/>
        <w:tblCellMar>
          <w:top w:w="0" w:type="dxa"/>
          <w:left w:w="108" w:type="dxa"/>
          <w:bottom w:w="0" w:type="dxa"/>
          <w:right w:w="108" w:type="dxa"/>
        </w:tblCellMar>
      </w:tblPrEx>
      <w:tc>
        <w:tcPr>
          <w:tcW w:w="1096" w:type="dxa"/>
          <w:vMerge w:val="restart"/>
          <w:vAlign w:val="center"/>
        </w:tcPr>
        <w:p>
          <w:pPr>
            <w:pStyle w:val="9"/>
            <w:pBdr>
              <w:bottom w:val="none" w:color="auto" w:sz="0" w:space="0"/>
            </w:pBdr>
            <w:spacing w:after="0" w:line="0" w:lineRule="atLeast"/>
            <w:jc w:val="left"/>
            <w:rPr>
              <w:rFonts w:ascii="Calibri" w:hAnsi="Calibri" w:eastAsia="华文中宋"/>
              <w:sz w:val="15"/>
            </w:rPr>
          </w:pPr>
          <w:r>
            <w:rPr>
              <w:lang w:eastAsia="zh-CN" w:bidi="ar-SA"/>
            </w:rPr>
            <w:drawing>
              <wp:inline distT="0" distB="0" distL="0" distR="0">
                <wp:extent cx="444500" cy="452755"/>
                <wp:effectExtent l="0" t="0" r="0" b="0"/>
                <wp:docPr id="6" name="图片 9" descr="鹏信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鹏信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4500" cy="452755"/>
                        </a:xfrm>
                        <a:prstGeom prst="rect">
                          <a:avLst/>
                        </a:prstGeom>
                        <a:noFill/>
                        <a:ln>
                          <a:noFill/>
                        </a:ln>
                      </pic:spPr>
                    </pic:pic>
                  </a:graphicData>
                </a:graphic>
              </wp:inline>
            </w:drawing>
          </w:r>
        </w:p>
      </w:tc>
      <w:tc>
        <w:tcPr>
          <w:tcW w:w="7426" w:type="dxa"/>
          <w:vAlign w:val="top"/>
        </w:tcPr>
        <w:p>
          <w:pPr>
            <w:pStyle w:val="9"/>
            <w:pBdr>
              <w:bottom w:val="none" w:color="auto" w:sz="0" w:space="0"/>
            </w:pBdr>
            <w:spacing w:after="0" w:line="0" w:lineRule="atLeast"/>
            <w:jc w:val="right"/>
            <w:rPr>
              <w:rFonts w:ascii="Calibri" w:hAnsi="Calibri" w:eastAsia="仿宋"/>
              <w:lang w:eastAsia="zh-CN"/>
            </w:rPr>
          </w:pPr>
          <w:r>
            <w:rPr>
              <w:rFonts w:hint="eastAsia" w:ascii="Calibri" w:hAnsi="Calibri" w:eastAsia="仿宋"/>
              <w:lang w:eastAsia="zh-CN"/>
            </w:rPr>
            <w:t>曲靖市麒麟区自然资源局拟对麒麟区东山镇大山采石场采矿权</w:t>
          </w:r>
        </w:p>
      </w:tc>
    </w:tr>
    <w:tr>
      <w:tblPrEx>
        <w:tblLayout w:type="fixed"/>
        <w:tblCellMar>
          <w:top w:w="0" w:type="dxa"/>
          <w:left w:w="108" w:type="dxa"/>
          <w:bottom w:w="0" w:type="dxa"/>
          <w:right w:w="108" w:type="dxa"/>
        </w:tblCellMar>
      </w:tblPrEx>
      <w:tc>
        <w:tcPr>
          <w:tcW w:w="1096" w:type="dxa"/>
          <w:vMerge w:val="continue"/>
        </w:tcPr>
        <w:p>
          <w:pPr>
            <w:pStyle w:val="9"/>
            <w:pBdr>
              <w:bottom w:val="none" w:color="auto" w:sz="0" w:space="0"/>
            </w:pBdr>
            <w:spacing w:after="0" w:line="0" w:lineRule="atLeast"/>
            <w:jc w:val="both"/>
            <w:rPr>
              <w:rFonts w:ascii="Calibri" w:hAnsi="Calibri" w:eastAsia="华文中宋"/>
              <w:sz w:val="15"/>
            </w:rPr>
          </w:pPr>
          <w:r>
            <w:rPr>
              <w:rFonts w:hint="eastAsia" w:ascii="Calibri" w:hAnsi="Calibri" w:eastAsia="华文中宋"/>
              <w:sz w:val="15"/>
              <w:lang w:eastAsia="zh-CN"/>
            </w:rPr>
            <w:t>资产</w:t>
          </w:r>
        </w:p>
      </w:tc>
      <w:tc>
        <w:tcPr>
          <w:tcW w:w="7426" w:type="dxa"/>
          <w:vAlign w:val="top"/>
        </w:tcPr>
        <w:p>
          <w:pPr>
            <w:pStyle w:val="9"/>
            <w:pBdr>
              <w:bottom w:val="none" w:color="auto" w:sz="0" w:space="0"/>
            </w:pBdr>
            <w:spacing w:after="0" w:line="0" w:lineRule="atLeast"/>
            <w:jc w:val="right"/>
            <w:rPr>
              <w:rFonts w:ascii="Calibri" w:hAnsi="Calibri" w:eastAsia="仿宋"/>
              <w:lang w:eastAsia="zh-CN"/>
            </w:rPr>
          </w:pPr>
          <w:r>
            <w:rPr>
              <w:rFonts w:hint="eastAsia" w:ascii="仿宋" w:hAnsi="仿宋" w:eastAsia="仿宋"/>
              <w:lang w:eastAsia="zh-CN"/>
            </w:rPr>
            <w:t>进行竞争性出让所涉及的麒麟区东山镇大山采石场采矿权</w:t>
          </w:r>
        </w:p>
      </w:tc>
    </w:tr>
    <w:tr>
      <w:tblPrEx>
        <w:tblLayout w:type="fixed"/>
        <w:tblCellMar>
          <w:top w:w="0" w:type="dxa"/>
          <w:left w:w="108" w:type="dxa"/>
          <w:bottom w:w="0" w:type="dxa"/>
          <w:right w:w="108" w:type="dxa"/>
        </w:tblCellMar>
      </w:tblPrEx>
      <w:tc>
        <w:tcPr>
          <w:tcW w:w="1096" w:type="dxa"/>
          <w:vMerge w:val="continue"/>
        </w:tcPr>
        <w:p>
          <w:pPr>
            <w:pStyle w:val="9"/>
            <w:pBdr>
              <w:bottom w:val="none" w:color="auto" w:sz="0" w:space="0"/>
            </w:pBdr>
            <w:spacing w:after="0" w:line="0" w:lineRule="atLeast"/>
            <w:jc w:val="both"/>
            <w:rPr>
              <w:rFonts w:ascii="Calibri" w:hAnsi="Calibri" w:eastAsia="华文中宋"/>
              <w:sz w:val="15"/>
              <w:lang w:eastAsia="zh-CN"/>
            </w:rPr>
          </w:pPr>
        </w:p>
      </w:tc>
      <w:tc>
        <w:tcPr>
          <w:tcW w:w="7426" w:type="dxa"/>
        </w:tcPr>
        <w:p>
          <w:pPr>
            <w:pStyle w:val="9"/>
            <w:pBdr>
              <w:bottom w:val="none" w:color="auto" w:sz="0" w:space="0"/>
            </w:pBdr>
            <w:spacing w:after="0" w:line="0" w:lineRule="atLeast"/>
            <w:ind w:firstLine="180" w:firstLineChars="100"/>
            <w:jc w:val="right"/>
            <w:rPr>
              <w:rFonts w:ascii="Calibri" w:hAnsi="Calibri" w:eastAsia="仿宋"/>
              <w:lang w:eastAsia="zh-CN"/>
            </w:rPr>
          </w:pPr>
          <w:r>
            <w:rPr>
              <w:rFonts w:hint="eastAsia" w:ascii="Calibri" w:hAnsi="Calibri" w:eastAsia="仿宋"/>
              <w:lang w:eastAsia="zh-CN"/>
            </w:rPr>
            <w:t>涉矿相关资产市场价值资产评估报告·</w:t>
          </w:r>
          <w:r>
            <w:rPr>
              <w:rFonts w:hint="eastAsia" w:ascii="Calibri" w:hAnsi="Calibri" w:eastAsia="仿宋"/>
              <w:lang w:val="en-US" w:eastAsia="zh-CN"/>
            </w:rPr>
            <w:t>附件</w:t>
          </w:r>
        </w:p>
      </w:tc>
    </w:tr>
  </w:tbl>
  <w:p>
    <w:pPr>
      <w:pStyle w:val="9"/>
      <w:spacing w:after="0" w:line="0" w:lineRule="atLeast"/>
      <w:jc w:val="both"/>
      <w:rPr>
        <w:sz w:val="10"/>
        <w:szCs w:val="1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YWEyNjBmZGNiNTkyNjNhY2NjOGYwOTgyNTY3OWEifQ=="/>
  </w:docVars>
  <w:rsids>
    <w:rsidRoot w:val="009244E4"/>
    <w:rsid w:val="0000314D"/>
    <w:rsid w:val="00007468"/>
    <w:rsid w:val="00010FD1"/>
    <w:rsid w:val="00026087"/>
    <w:rsid w:val="00031E73"/>
    <w:rsid w:val="0004037A"/>
    <w:rsid w:val="000436EA"/>
    <w:rsid w:val="000465EB"/>
    <w:rsid w:val="0005119C"/>
    <w:rsid w:val="000529CB"/>
    <w:rsid w:val="000629FB"/>
    <w:rsid w:val="00077AAF"/>
    <w:rsid w:val="000825B8"/>
    <w:rsid w:val="000848ED"/>
    <w:rsid w:val="0009168C"/>
    <w:rsid w:val="00093CF5"/>
    <w:rsid w:val="000A1614"/>
    <w:rsid w:val="000A2C34"/>
    <w:rsid w:val="000A3948"/>
    <w:rsid w:val="000A658E"/>
    <w:rsid w:val="000A7E65"/>
    <w:rsid w:val="000B53D7"/>
    <w:rsid w:val="000C1838"/>
    <w:rsid w:val="000C494D"/>
    <w:rsid w:val="000D3104"/>
    <w:rsid w:val="000D45B2"/>
    <w:rsid w:val="000D6779"/>
    <w:rsid w:val="000E07BB"/>
    <w:rsid w:val="000E6DFD"/>
    <w:rsid w:val="000E7DA7"/>
    <w:rsid w:val="000F01E1"/>
    <w:rsid w:val="000F01E7"/>
    <w:rsid w:val="000F6841"/>
    <w:rsid w:val="001021DA"/>
    <w:rsid w:val="00102672"/>
    <w:rsid w:val="00105A64"/>
    <w:rsid w:val="00107C91"/>
    <w:rsid w:val="001102E7"/>
    <w:rsid w:val="00112CE2"/>
    <w:rsid w:val="001239DC"/>
    <w:rsid w:val="00124EE0"/>
    <w:rsid w:val="0013287B"/>
    <w:rsid w:val="00134939"/>
    <w:rsid w:val="00154783"/>
    <w:rsid w:val="00164EA2"/>
    <w:rsid w:val="00167EC1"/>
    <w:rsid w:val="00170DDC"/>
    <w:rsid w:val="00174223"/>
    <w:rsid w:val="00182B6B"/>
    <w:rsid w:val="00184C8C"/>
    <w:rsid w:val="00185107"/>
    <w:rsid w:val="001A54B0"/>
    <w:rsid w:val="001A5728"/>
    <w:rsid w:val="001A7FC0"/>
    <w:rsid w:val="001B5304"/>
    <w:rsid w:val="001B733E"/>
    <w:rsid w:val="001C0DBE"/>
    <w:rsid w:val="001C42C3"/>
    <w:rsid w:val="001D0B66"/>
    <w:rsid w:val="001D2C5D"/>
    <w:rsid w:val="001D3312"/>
    <w:rsid w:val="001E0FA6"/>
    <w:rsid w:val="001E19B2"/>
    <w:rsid w:val="001F2E82"/>
    <w:rsid w:val="001F31F7"/>
    <w:rsid w:val="001F7390"/>
    <w:rsid w:val="00201231"/>
    <w:rsid w:val="00204505"/>
    <w:rsid w:val="00207566"/>
    <w:rsid w:val="00226022"/>
    <w:rsid w:val="0023640E"/>
    <w:rsid w:val="0023765D"/>
    <w:rsid w:val="00242F20"/>
    <w:rsid w:val="002438B6"/>
    <w:rsid w:val="002535AE"/>
    <w:rsid w:val="002560FF"/>
    <w:rsid w:val="00263CA8"/>
    <w:rsid w:val="00270F8B"/>
    <w:rsid w:val="00277CBA"/>
    <w:rsid w:val="002802D2"/>
    <w:rsid w:val="002871B4"/>
    <w:rsid w:val="00290EF4"/>
    <w:rsid w:val="0029638B"/>
    <w:rsid w:val="002A130A"/>
    <w:rsid w:val="002A5B23"/>
    <w:rsid w:val="002B1711"/>
    <w:rsid w:val="002C55A1"/>
    <w:rsid w:val="002D34F0"/>
    <w:rsid w:val="002D5FFD"/>
    <w:rsid w:val="002D767D"/>
    <w:rsid w:val="002E37F4"/>
    <w:rsid w:val="002F448B"/>
    <w:rsid w:val="003130C1"/>
    <w:rsid w:val="00331AA3"/>
    <w:rsid w:val="0033347B"/>
    <w:rsid w:val="00333569"/>
    <w:rsid w:val="0033419F"/>
    <w:rsid w:val="00337983"/>
    <w:rsid w:val="0034756A"/>
    <w:rsid w:val="00356ED8"/>
    <w:rsid w:val="0036309E"/>
    <w:rsid w:val="00374C4C"/>
    <w:rsid w:val="00377E7F"/>
    <w:rsid w:val="003811AA"/>
    <w:rsid w:val="00387FC5"/>
    <w:rsid w:val="00393BBB"/>
    <w:rsid w:val="00394037"/>
    <w:rsid w:val="003A4B84"/>
    <w:rsid w:val="003A78BC"/>
    <w:rsid w:val="003B5F9A"/>
    <w:rsid w:val="003B7B01"/>
    <w:rsid w:val="003C5FD3"/>
    <w:rsid w:val="003C6740"/>
    <w:rsid w:val="003D660E"/>
    <w:rsid w:val="003D68FA"/>
    <w:rsid w:val="003E2214"/>
    <w:rsid w:val="003E264C"/>
    <w:rsid w:val="003E760C"/>
    <w:rsid w:val="003F28BC"/>
    <w:rsid w:val="003F6B46"/>
    <w:rsid w:val="00401016"/>
    <w:rsid w:val="00412627"/>
    <w:rsid w:val="00417066"/>
    <w:rsid w:val="00417E9A"/>
    <w:rsid w:val="004253AA"/>
    <w:rsid w:val="0043059C"/>
    <w:rsid w:val="004340B6"/>
    <w:rsid w:val="004364EE"/>
    <w:rsid w:val="00437740"/>
    <w:rsid w:val="004379E4"/>
    <w:rsid w:val="00440F08"/>
    <w:rsid w:val="00450135"/>
    <w:rsid w:val="0045297D"/>
    <w:rsid w:val="00457338"/>
    <w:rsid w:val="0046290A"/>
    <w:rsid w:val="00480E35"/>
    <w:rsid w:val="004A270F"/>
    <w:rsid w:val="004A643C"/>
    <w:rsid w:val="004B0F52"/>
    <w:rsid w:val="004B3104"/>
    <w:rsid w:val="004C2A55"/>
    <w:rsid w:val="004C46FA"/>
    <w:rsid w:val="004D067F"/>
    <w:rsid w:val="004D17F3"/>
    <w:rsid w:val="004D684B"/>
    <w:rsid w:val="004E0343"/>
    <w:rsid w:val="004E6E10"/>
    <w:rsid w:val="004F696C"/>
    <w:rsid w:val="00502ACB"/>
    <w:rsid w:val="00504696"/>
    <w:rsid w:val="00507266"/>
    <w:rsid w:val="005072F5"/>
    <w:rsid w:val="005138BD"/>
    <w:rsid w:val="0051478C"/>
    <w:rsid w:val="00525486"/>
    <w:rsid w:val="00525D55"/>
    <w:rsid w:val="005277B0"/>
    <w:rsid w:val="00530273"/>
    <w:rsid w:val="00531C9F"/>
    <w:rsid w:val="00532E18"/>
    <w:rsid w:val="00537449"/>
    <w:rsid w:val="00542B17"/>
    <w:rsid w:val="005438CF"/>
    <w:rsid w:val="00543B22"/>
    <w:rsid w:val="00543DB0"/>
    <w:rsid w:val="00545151"/>
    <w:rsid w:val="005522DB"/>
    <w:rsid w:val="005643D9"/>
    <w:rsid w:val="00566C5C"/>
    <w:rsid w:val="005748BB"/>
    <w:rsid w:val="005836A2"/>
    <w:rsid w:val="00585A06"/>
    <w:rsid w:val="00590B33"/>
    <w:rsid w:val="005A76E6"/>
    <w:rsid w:val="005A78F1"/>
    <w:rsid w:val="005A7EA4"/>
    <w:rsid w:val="005B5720"/>
    <w:rsid w:val="005B6362"/>
    <w:rsid w:val="005B6CFD"/>
    <w:rsid w:val="005C040C"/>
    <w:rsid w:val="005D06E3"/>
    <w:rsid w:val="005E3E44"/>
    <w:rsid w:val="00601947"/>
    <w:rsid w:val="00602C6E"/>
    <w:rsid w:val="0060421B"/>
    <w:rsid w:val="00607500"/>
    <w:rsid w:val="00616ECF"/>
    <w:rsid w:val="00622F90"/>
    <w:rsid w:val="0062455E"/>
    <w:rsid w:val="00624FC4"/>
    <w:rsid w:val="00625B46"/>
    <w:rsid w:val="00627C67"/>
    <w:rsid w:val="006340EB"/>
    <w:rsid w:val="00643A32"/>
    <w:rsid w:val="00650B9D"/>
    <w:rsid w:val="00651264"/>
    <w:rsid w:val="00654A76"/>
    <w:rsid w:val="006565E8"/>
    <w:rsid w:val="006605BA"/>
    <w:rsid w:val="00666E05"/>
    <w:rsid w:val="00675289"/>
    <w:rsid w:val="00675BFD"/>
    <w:rsid w:val="006848BF"/>
    <w:rsid w:val="006859D0"/>
    <w:rsid w:val="0068613C"/>
    <w:rsid w:val="006911B6"/>
    <w:rsid w:val="0069400C"/>
    <w:rsid w:val="006A1ED6"/>
    <w:rsid w:val="006A52A0"/>
    <w:rsid w:val="006B4B86"/>
    <w:rsid w:val="006C2B86"/>
    <w:rsid w:val="006D2EC5"/>
    <w:rsid w:val="006E0415"/>
    <w:rsid w:val="006F4983"/>
    <w:rsid w:val="0071274B"/>
    <w:rsid w:val="007153AD"/>
    <w:rsid w:val="00720224"/>
    <w:rsid w:val="00732A70"/>
    <w:rsid w:val="0074030C"/>
    <w:rsid w:val="007438CC"/>
    <w:rsid w:val="007515F8"/>
    <w:rsid w:val="007532A7"/>
    <w:rsid w:val="00754559"/>
    <w:rsid w:val="007566E8"/>
    <w:rsid w:val="007634AA"/>
    <w:rsid w:val="007635A7"/>
    <w:rsid w:val="007651AA"/>
    <w:rsid w:val="007708A6"/>
    <w:rsid w:val="007776F7"/>
    <w:rsid w:val="007810F4"/>
    <w:rsid w:val="00783343"/>
    <w:rsid w:val="00784EF3"/>
    <w:rsid w:val="00794379"/>
    <w:rsid w:val="00795EB5"/>
    <w:rsid w:val="00795EC9"/>
    <w:rsid w:val="007A0886"/>
    <w:rsid w:val="007A0D97"/>
    <w:rsid w:val="007A28BB"/>
    <w:rsid w:val="007A4C8E"/>
    <w:rsid w:val="007A57F9"/>
    <w:rsid w:val="007B0B4D"/>
    <w:rsid w:val="007B5888"/>
    <w:rsid w:val="007B5BC4"/>
    <w:rsid w:val="007B5EEE"/>
    <w:rsid w:val="007B6309"/>
    <w:rsid w:val="007C0E55"/>
    <w:rsid w:val="007C4CB5"/>
    <w:rsid w:val="007C6239"/>
    <w:rsid w:val="007D4171"/>
    <w:rsid w:val="007D7A29"/>
    <w:rsid w:val="007E43E8"/>
    <w:rsid w:val="007E4E40"/>
    <w:rsid w:val="007E54EA"/>
    <w:rsid w:val="007F20DD"/>
    <w:rsid w:val="0080629E"/>
    <w:rsid w:val="00807D0A"/>
    <w:rsid w:val="0081318C"/>
    <w:rsid w:val="0084012B"/>
    <w:rsid w:val="008419F0"/>
    <w:rsid w:val="00842862"/>
    <w:rsid w:val="008462ED"/>
    <w:rsid w:val="0085252D"/>
    <w:rsid w:val="0085429A"/>
    <w:rsid w:val="00863AE2"/>
    <w:rsid w:val="00866A2D"/>
    <w:rsid w:val="00872D0A"/>
    <w:rsid w:val="00876D43"/>
    <w:rsid w:val="008822A6"/>
    <w:rsid w:val="00886177"/>
    <w:rsid w:val="00890BFC"/>
    <w:rsid w:val="0089119E"/>
    <w:rsid w:val="008A004A"/>
    <w:rsid w:val="008A0D43"/>
    <w:rsid w:val="008A25B2"/>
    <w:rsid w:val="008A2C31"/>
    <w:rsid w:val="008A504B"/>
    <w:rsid w:val="008B0EB8"/>
    <w:rsid w:val="008B339C"/>
    <w:rsid w:val="008C335E"/>
    <w:rsid w:val="008C7BB4"/>
    <w:rsid w:val="008D0E98"/>
    <w:rsid w:val="008D3732"/>
    <w:rsid w:val="008D4291"/>
    <w:rsid w:val="008D7093"/>
    <w:rsid w:val="008E0B69"/>
    <w:rsid w:val="008E47B2"/>
    <w:rsid w:val="008E6274"/>
    <w:rsid w:val="008F2F51"/>
    <w:rsid w:val="008F4593"/>
    <w:rsid w:val="008F4912"/>
    <w:rsid w:val="008F4A73"/>
    <w:rsid w:val="00900D2D"/>
    <w:rsid w:val="0090170A"/>
    <w:rsid w:val="00905727"/>
    <w:rsid w:val="009108ED"/>
    <w:rsid w:val="009138AA"/>
    <w:rsid w:val="0092361A"/>
    <w:rsid w:val="009244E4"/>
    <w:rsid w:val="00931768"/>
    <w:rsid w:val="00933B77"/>
    <w:rsid w:val="00942ED7"/>
    <w:rsid w:val="00946D14"/>
    <w:rsid w:val="009511CE"/>
    <w:rsid w:val="00953443"/>
    <w:rsid w:val="0095506D"/>
    <w:rsid w:val="0095660E"/>
    <w:rsid w:val="009668FD"/>
    <w:rsid w:val="009712C1"/>
    <w:rsid w:val="00976FD3"/>
    <w:rsid w:val="00983D7C"/>
    <w:rsid w:val="009A0202"/>
    <w:rsid w:val="009B6138"/>
    <w:rsid w:val="009B6752"/>
    <w:rsid w:val="009C004D"/>
    <w:rsid w:val="009C4973"/>
    <w:rsid w:val="009C5386"/>
    <w:rsid w:val="009C5BDE"/>
    <w:rsid w:val="009D0936"/>
    <w:rsid w:val="009E0FAE"/>
    <w:rsid w:val="009E1518"/>
    <w:rsid w:val="009E3009"/>
    <w:rsid w:val="009E4DE8"/>
    <w:rsid w:val="009E755C"/>
    <w:rsid w:val="009F12A6"/>
    <w:rsid w:val="00A03A1F"/>
    <w:rsid w:val="00A0623F"/>
    <w:rsid w:val="00A068AF"/>
    <w:rsid w:val="00A45F7D"/>
    <w:rsid w:val="00A53D51"/>
    <w:rsid w:val="00A558FA"/>
    <w:rsid w:val="00A6093E"/>
    <w:rsid w:val="00A61146"/>
    <w:rsid w:val="00A719F1"/>
    <w:rsid w:val="00A746FB"/>
    <w:rsid w:val="00A7565A"/>
    <w:rsid w:val="00A765A3"/>
    <w:rsid w:val="00A82A0B"/>
    <w:rsid w:val="00A84FA1"/>
    <w:rsid w:val="00A902AA"/>
    <w:rsid w:val="00A91227"/>
    <w:rsid w:val="00A96C39"/>
    <w:rsid w:val="00A975D2"/>
    <w:rsid w:val="00AA3476"/>
    <w:rsid w:val="00AA3EB4"/>
    <w:rsid w:val="00AA63F6"/>
    <w:rsid w:val="00AB1589"/>
    <w:rsid w:val="00AC17DE"/>
    <w:rsid w:val="00AC31D2"/>
    <w:rsid w:val="00AC7132"/>
    <w:rsid w:val="00AD0749"/>
    <w:rsid w:val="00AD3C7C"/>
    <w:rsid w:val="00AE1AA5"/>
    <w:rsid w:val="00AE6A11"/>
    <w:rsid w:val="00AE7984"/>
    <w:rsid w:val="00AF51C1"/>
    <w:rsid w:val="00AF57AB"/>
    <w:rsid w:val="00B01F68"/>
    <w:rsid w:val="00B06CCD"/>
    <w:rsid w:val="00B27209"/>
    <w:rsid w:val="00B27994"/>
    <w:rsid w:val="00B3107D"/>
    <w:rsid w:val="00B31F1D"/>
    <w:rsid w:val="00B34009"/>
    <w:rsid w:val="00B348B7"/>
    <w:rsid w:val="00B367C3"/>
    <w:rsid w:val="00B6154B"/>
    <w:rsid w:val="00B8110C"/>
    <w:rsid w:val="00B97623"/>
    <w:rsid w:val="00BA1313"/>
    <w:rsid w:val="00BB107E"/>
    <w:rsid w:val="00BB15BD"/>
    <w:rsid w:val="00BC12E5"/>
    <w:rsid w:val="00BC24A0"/>
    <w:rsid w:val="00BC4DCD"/>
    <w:rsid w:val="00BF0076"/>
    <w:rsid w:val="00BF1D5C"/>
    <w:rsid w:val="00BF3818"/>
    <w:rsid w:val="00C00A4D"/>
    <w:rsid w:val="00C01446"/>
    <w:rsid w:val="00C03E35"/>
    <w:rsid w:val="00C04503"/>
    <w:rsid w:val="00C104AA"/>
    <w:rsid w:val="00C14A33"/>
    <w:rsid w:val="00C21407"/>
    <w:rsid w:val="00C25101"/>
    <w:rsid w:val="00C35357"/>
    <w:rsid w:val="00C37512"/>
    <w:rsid w:val="00C40749"/>
    <w:rsid w:val="00C456BF"/>
    <w:rsid w:val="00C47027"/>
    <w:rsid w:val="00C52D30"/>
    <w:rsid w:val="00C53837"/>
    <w:rsid w:val="00C66E1A"/>
    <w:rsid w:val="00C92F75"/>
    <w:rsid w:val="00C96AE4"/>
    <w:rsid w:val="00CA0AC0"/>
    <w:rsid w:val="00CA2C9C"/>
    <w:rsid w:val="00CA4071"/>
    <w:rsid w:val="00CA5854"/>
    <w:rsid w:val="00CA7F8C"/>
    <w:rsid w:val="00CB02E5"/>
    <w:rsid w:val="00CC2FA6"/>
    <w:rsid w:val="00CD0CF6"/>
    <w:rsid w:val="00CD1114"/>
    <w:rsid w:val="00CD74D7"/>
    <w:rsid w:val="00CE52C0"/>
    <w:rsid w:val="00CF2181"/>
    <w:rsid w:val="00CF5A9B"/>
    <w:rsid w:val="00CF7C2E"/>
    <w:rsid w:val="00D041E0"/>
    <w:rsid w:val="00D054B6"/>
    <w:rsid w:val="00D1231E"/>
    <w:rsid w:val="00D12FE3"/>
    <w:rsid w:val="00D162FB"/>
    <w:rsid w:val="00D3164D"/>
    <w:rsid w:val="00D33CD6"/>
    <w:rsid w:val="00D37910"/>
    <w:rsid w:val="00D43D4D"/>
    <w:rsid w:val="00D46AE2"/>
    <w:rsid w:val="00D472F3"/>
    <w:rsid w:val="00D6047C"/>
    <w:rsid w:val="00D62A5F"/>
    <w:rsid w:val="00D65873"/>
    <w:rsid w:val="00D715ED"/>
    <w:rsid w:val="00D75568"/>
    <w:rsid w:val="00D75F6C"/>
    <w:rsid w:val="00D76C73"/>
    <w:rsid w:val="00D82CD8"/>
    <w:rsid w:val="00D84B7E"/>
    <w:rsid w:val="00D85307"/>
    <w:rsid w:val="00D94F1B"/>
    <w:rsid w:val="00DA3EDD"/>
    <w:rsid w:val="00DB1416"/>
    <w:rsid w:val="00DB2D9C"/>
    <w:rsid w:val="00DB305D"/>
    <w:rsid w:val="00DB369B"/>
    <w:rsid w:val="00DC27E6"/>
    <w:rsid w:val="00DD6194"/>
    <w:rsid w:val="00DD6C3D"/>
    <w:rsid w:val="00DE1D56"/>
    <w:rsid w:val="00DF0C61"/>
    <w:rsid w:val="00DF0DD8"/>
    <w:rsid w:val="00DF612C"/>
    <w:rsid w:val="00E00217"/>
    <w:rsid w:val="00E00DFE"/>
    <w:rsid w:val="00E11FEE"/>
    <w:rsid w:val="00E14DA3"/>
    <w:rsid w:val="00E263A3"/>
    <w:rsid w:val="00E30006"/>
    <w:rsid w:val="00E33660"/>
    <w:rsid w:val="00E33DE7"/>
    <w:rsid w:val="00E41649"/>
    <w:rsid w:val="00E51E92"/>
    <w:rsid w:val="00E57DD6"/>
    <w:rsid w:val="00E61202"/>
    <w:rsid w:val="00E63062"/>
    <w:rsid w:val="00E66AF1"/>
    <w:rsid w:val="00E70276"/>
    <w:rsid w:val="00E70888"/>
    <w:rsid w:val="00E74318"/>
    <w:rsid w:val="00E75492"/>
    <w:rsid w:val="00E76C7B"/>
    <w:rsid w:val="00E8506C"/>
    <w:rsid w:val="00EA5F4F"/>
    <w:rsid w:val="00EA6A23"/>
    <w:rsid w:val="00EC0985"/>
    <w:rsid w:val="00EC2664"/>
    <w:rsid w:val="00EC30F7"/>
    <w:rsid w:val="00EC4721"/>
    <w:rsid w:val="00EC7E6C"/>
    <w:rsid w:val="00ED1831"/>
    <w:rsid w:val="00ED40A2"/>
    <w:rsid w:val="00ED65B9"/>
    <w:rsid w:val="00EE12C2"/>
    <w:rsid w:val="00EF0EED"/>
    <w:rsid w:val="00EF5DC1"/>
    <w:rsid w:val="00F025A3"/>
    <w:rsid w:val="00F07001"/>
    <w:rsid w:val="00F07FD1"/>
    <w:rsid w:val="00F12C89"/>
    <w:rsid w:val="00F13ABC"/>
    <w:rsid w:val="00F16B2E"/>
    <w:rsid w:val="00F179E0"/>
    <w:rsid w:val="00F21BAC"/>
    <w:rsid w:val="00F2616C"/>
    <w:rsid w:val="00F276C5"/>
    <w:rsid w:val="00F30165"/>
    <w:rsid w:val="00F301FD"/>
    <w:rsid w:val="00F4062B"/>
    <w:rsid w:val="00F50147"/>
    <w:rsid w:val="00F76A13"/>
    <w:rsid w:val="00F80A93"/>
    <w:rsid w:val="00F87638"/>
    <w:rsid w:val="00F878F2"/>
    <w:rsid w:val="00F934F0"/>
    <w:rsid w:val="00FA6459"/>
    <w:rsid w:val="00FB1597"/>
    <w:rsid w:val="00FB3747"/>
    <w:rsid w:val="00FB3840"/>
    <w:rsid w:val="00FB6891"/>
    <w:rsid w:val="00FC3AA3"/>
    <w:rsid w:val="00FD354E"/>
    <w:rsid w:val="00FD4E9A"/>
    <w:rsid w:val="00FD5242"/>
    <w:rsid w:val="00FD540F"/>
    <w:rsid w:val="00FD556B"/>
    <w:rsid w:val="00FE12AC"/>
    <w:rsid w:val="00FE78EC"/>
    <w:rsid w:val="00FF0A3D"/>
    <w:rsid w:val="01283E68"/>
    <w:rsid w:val="018740E9"/>
    <w:rsid w:val="01AB7924"/>
    <w:rsid w:val="0224659E"/>
    <w:rsid w:val="022F19AB"/>
    <w:rsid w:val="027938B5"/>
    <w:rsid w:val="029E03B0"/>
    <w:rsid w:val="0309759E"/>
    <w:rsid w:val="03BC7BC3"/>
    <w:rsid w:val="03C93279"/>
    <w:rsid w:val="03D650AC"/>
    <w:rsid w:val="041A08E2"/>
    <w:rsid w:val="04E40839"/>
    <w:rsid w:val="050B2A21"/>
    <w:rsid w:val="05100812"/>
    <w:rsid w:val="05257A7C"/>
    <w:rsid w:val="052817E4"/>
    <w:rsid w:val="052C0810"/>
    <w:rsid w:val="05511A52"/>
    <w:rsid w:val="05650176"/>
    <w:rsid w:val="058E3133"/>
    <w:rsid w:val="06367395"/>
    <w:rsid w:val="0648266F"/>
    <w:rsid w:val="064B2F7D"/>
    <w:rsid w:val="06B52E13"/>
    <w:rsid w:val="06BB0575"/>
    <w:rsid w:val="06C975A8"/>
    <w:rsid w:val="06F544E2"/>
    <w:rsid w:val="06FF4C22"/>
    <w:rsid w:val="072E2449"/>
    <w:rsid w:val="07B74F40"/>
    <w:rsid w:val="07D32100"/>
    <w:rsid w:val="07DE0DA0"/>
    <w:rsid w:val="083C45A3"/>
    <w:rsid w:val="089B3617"/>
    <w:rsid w:val="08E31C4F"/>
    <w:rsid w:val="09121003"/>
    <w:rsid w:val="09271AF3"/>
    <w:rsid w:val="0946299D"/>
    <w:rsid w:val="095B4216"/>
    <w:rsid w:val="09673949"/>
    <w:rsid w:val="097A1DFC"/>
    <w:rsid w:val="09BE7983"/>
    <w:rsid w:val="09CC2950"/>
    <w:rsid w:val="0A116F3E"/>
    <w:rsid w:val="0A2378AF"/>
    <w:rsid w:val="0A3C568C"/>
    <w:rsid w:val="0B2C643B"/>
    <w:rsid w:val="0B75691E"/>
    <w:rsid w:val="0C5823BF"/>
    <w:rsid w:val="0CEB50AF"/>
    <w:rsid w:val="0CED10A9"/>
    <w:rsid w:val="0CEF4CAF"/>
    <w:rsid w:val="0D2D6E28"/>
    <w:rsid w:val="0D38267F"/>
    <w:rsid w:val="0D87215A"/>
    <w:rsid w:val="0DF249F1"/>
    <w:rsid w:val="0E2935DE"/>
    <w:rsid w:val="0E4A3F8E"/>
    <w:rsid w:val="0E5F04BC"/>
    <w:rsid w:val="0EBE5B7C"/>
    <w:rsid w:val="0EEA682E"/>
    <w:rsid w:val="0F1C036C"/>
    <w:rsid w:val="0FE47517"/>
    <w:rsid w:val="10092FA8"/>
    <w:rsid w:val="101B6CD4"/>
    <w:rsid w:val="1037308E"/>
    <w:rsid w:val="10391366"/>
    <w:rsid w:val="10563BD4"/>
    <w:rsid w:val="10725851"/>
    <w:rsid w:val="10733EFB"/>
    <w:rsid w:val="10B95326"/>
    <w:rsid w:val="10DC5D9C"/>
    <w:rsid w:val="110B02EC"/>
    <w:rsid w:val="11162168"/>
    <w:rsid w:val="11433CA2"/>
    <w:rsid w:val="116074E8"/>
    <w:rsid w:val="11721B7F"/>
    <w:rsid w:val="11820A2A"/>
    <w:rsid w:val="11F679D0"/>
    <w:rsid w:val="12131520"/>
    <w:rsid w:val="121335BE"/>
    <w:rsid w:val="12202FB5"/>
    <w:rsid w:val="125B6638"/>
    <w:rsid w:val="126F22D6"/>
    <w:rsid w:val="12C11152"/>
    <w:rsid w:val="13072C69"/>
    <w:rsid w:val="130C28A5"/>
    <w:rsid w:val="1336563D"/>
    <w:rsid w:val="133C21B9"/>
    <w:rsid w:val="13E42C19"/>
    <w:rsid w:val="15024CA6"/>
    <w:rsid w:val="15AD027E"/>
    <w:rsid w:val="1604099C"/>
    <w:rsid w:val="1663236D"/>
    <w:rsid w:val="16B46AF2"/>
    <w:rsid w:val="171B2300"/>
    <w:rsid w:val="177B0D3D"/>
    <w:rsid w:val="17F3234B"/>
    <w:rsid w:val="182D5B65"/>
    <w:rsid w:val="185760AF"/>
    <w:rsid w:val="186A749B"/>
    <w:rsid w:val="18932E9F"/>
    <w:rsid w:val="189C522C"/>
    <w:rsid w:val="18CE1648"/>
    <w:rsid w:val="19070400"/>
    <w:rsid w:val="190953E8"/>
    <w:rsid w:val="193C7DF2"/>
    <w:rsid w:val="197B350E"/>
    <w:rsid w:val="19944DCA"/>
    <w:rsid w:val="19961829"/>
    <w:rsid w:val="19AD38BD"/>
    <w:rsid w:val="19CC6B34"/>
    <w:rsid w:val="1AC60EAA"/>
    <w:rsid w:val="1AD3753C"/>
    <w:rsid w:val="1AD476E1"/>
    <w:rsid w:val="1B5A42C5"/>
    <w:rsid w:val="1BAF48D6"/>
    <w:rsid w:val="1BCD69CF"/>
    <w:rsid w:val="1C600A6A"/>
    <w:rsid w:val="1C6A228A"/>
    <w:rsid w:val="1D0A73DE"/>
    <w:rsid w:val="1D16139E"/>
    <w:rsid w:val="1D316148"/>
    <w:rsid w:val="1D4421FF"/>
    <w:rsid w:val="1D554C54"/>
    <w:rsid w:val="1D730A0D"/>
    <w:rsid w:val="1DCC34A1"/>
    <w:rsid w:val="1DD6032C"/>
    <w:rsid w:val="1E474734"/>
    <w:rsid w:val="1EF171C1"/>
    <w:rsid w:val="1F17639F"/>
    <w:rsid w:val="1F8B4890"/>
    <w:rsid w:val="1F8B5042"/>
    <w:rsid w:val="1FE84DD6"/>
    <w:rsid w:val="203A7757"/>
    <w:rsid w:val="2092611C"/>
    <w:rsid w:val="20B7589D"/>
    <w:rsid w:val="211E33B5"/>
    <w:rsid w:val="21430A81"/>
    <w:rsid w:val="214C2A4A"/>
    <w:rsid w:val="217C4654"/>
    <w:rsid w:val="218E21C0"/>
    <w:rsid w:val="21AE6749"/>
    <w:rsid w:val="220545A4"/>
    <w:rsid w:val="225B1FE7"/>
    <w:rsid w:val="22717D6E"/>
    <w:rsid w:val="227355B8"/>
    <w:rsid w:val="22C02E3B"/>
    <w:rsid w:val="22D12F17"/>
    <w:rsid w:val="22ED6D8F"/>
    <w:rsid w:val="231352C9"/>
    <w:rsid w:val="231465E0"/>
    <w:rsid w:val="234F7E81"/>
    <w:rsid w:val="24137F6A"/>
    <w:rsid w:val="243170D8"/>
    <w:rsid w:val="24AF2170"/>
    <w:rsid w:val="24D25BD7"/>
    <w:rsid w:val="24D91F95"/>
    <w:rsid w:val="2502109F"/>
    <w:rsid w:val="2513213C"/>
    <w:rsid w:val="25694195"/>
    <w:rsid w:val="257C305D"/>
    <w:rsid w:val="25B96D07"/>
    <w:rsid w:val="25E710EE"/>
    <w:rsid w:val="260C111D"/>
    <w:rsid w:val="261243C1"/>
    <w:rsid w:val="2629318F"/>
    <w:rsid w:val="268312D1"/>
    <w:rsid w:val="26831F87"/>
    <w:rsid w:val="26B55B35"/>
    <w:rsid w:val="26E7356F"/>
    <w:rsid w:val="26EC1080"/>
    <w:rsid w:val="27417036"/>
    <w:rsid w:val="2774066D"/>
    <w:rsid w:val="277E0E09"/>
    <w:rsid w:val="277F0F7B"/>
    <w:rsid w:val="27D679DA"/>
    <w:rsid w:val="280768AA"/>
    <w:rsid w:val="28103A05"/>
    <w:rsid w:val="283F0034"/>
    <w:rsid w:val="28A34989"/>
    <w:rsid w:val="28BE07BA"/>
    <w:rsid w:val="28C05A09"/>
    <w:rsid w:val="28E60CA0"/>
    <w:rsid w:val="28E77DAB"/>
    <w:rsid w:val="28E94AB7"/>
    <w:rsid w:val="290B53F7"/>
    <w:rsid w:val="29B76211"/>
    <w:rsid w:val="29BB7B1B"/>
    <w:rsid w:val="29CC5E68"/>
    <w:rsid w:val="29CD071F"/>
    <w:rsid w:val="29F72EA5"/>
    <w:rsid w:val="2A0A670D"/>
    <w:rsid w:val="2A704DAF"/>
    <w:rsid w:val="2AA20817"/>
    <w:rsid w:val="2AA711AF"/>
    <w:rsid w:val="2AE72383"/>
    <w:rsid w:val="2B116166"/>
    <w:rsid w:val="2B1C36F6"/>
    <w:rsid w:val="2B421F19"/>
    <w:rsid w:val="2B946CD6"/>
    <w:rsid w:val="2B960A5E"/>
    <w:rsid w:val="2BAA4AA1"/>
    <w:rsid w:val="2BC72B77"/>
    <w:rsid w:val="2BD37E16"/>
    <w:rsid w:val="2BD777F1"/>
    <w:rsid w:val="2C4D5743"/>
    <w:rsid w:val="2C800D0F"/>
    <w:rsid w:val="2CAA720C"/>
    <w:rsid w:val="2CAD3112"/>
    <w:rsid w:val="2CC83099"/>
    <w:rsid w:val="2D682DB5"/>
    <w:rsid w:val="2D6E5E36"/>
    <w:rsid w:val="2D9929BC"/>
    <w:rsid w:val="2DE17D7C"/>
    <w:rsid w:val="2E1F003F"/>
    <w:rsid w:val="2E3D777A"/>
    <w:rsid w:val="2E74094B"/>
    <w:rsid w:val="2E8948FC"/>
    <w:rsid w:val="2E9A49BB"/>
    <w:rsid w:val="2EFB745E"/>
    <w:rsid w:val="2F7059EB"/>
    <w:rsid w:val="2F820076"/>
    <w:rsid w:val="2F8D6035"/>
    <w:rsid w:val="2F9A4805"/>
    <w:rsid w:val="2FC12000"/>
    <w:rsid w:val="2FFE0250"/>
    <w:rsid w:val="30036FAD"/>
    <w:rsid w:val="307165F7"/>
    <w:rsid w:val="30721CB6"/>
    <w:rsid w:val="30B03BFC"/>
    <w:rsid w:val="30B105BE"/>
    <w:rsid w:val="319218E7"/>
    <w:rsid w:val="31DF5644"/>
    <w:rsid w:val="31F20C69"/>
    <w:rsid w:val="320159EF"/>
    <w:rsid w:val="32230C46"/>
    <w:rsid w:val="324F1AD3"/>
    <w:rsid w:val="32871094"/>
    <w:rsid w:val="328E5041"/>
    <w:rsid w:val="32A50A6A"/>
    <w:rsid w:val="33287646"/>
    <w:rsid w:val="332A5A83"/>
    <w:rsid w:val="335118FB"/>
    <w:rsid w:val="33647F0A"/>
    <w:rsid w:val="33AB798E"/>
    <w:rsid w:val="33D24CB4"/>
    <w:rsid w:val="33E55EAA"/>
    <w:rsid w:val="34044448"/>
    <w:rsid w:val="341436F9"/>
    <w:rsid w:val="343510A0"/>
    <w:rsid w:val="34AC3B1F"/>
    <w:rsid w:val="34CB5A95"/>
    <w:rsid w:val="34E56B5F"/>
    <w:rsid w:val="34FA483F"/>
    <w:rsid w:val="35184AF7"/>
    <w:rsid w:val="3520346C"/>
    <w:rsid w:val="35506B0B"/>
    <w:rsid w:val="356A440E"/>
    <w:rsid w:val="35963D69"/>
    <w:rsid w:val="35C673FB"/>
    <w:rsid w:val="35D05F92"/>
    <w:rsid w:val="3690122B"/>
    <w:rsid w:val="36BB6732"/>
    <w:rsid w:val="373F06D5"/>
    <w:rsid w:val="374843D9"/>
    <w:rsid w:val="37CD4D2F"/>
    <w:rsid w:val="38A4326D"/>
    <w:rsid w:val="38D56D60"/>
    <w:rsid w:val="38D761F4"/>
    <w:rsid w:val="39082AA4"/>
    <w:rsid w:val="390A6ED8"/>
    <w:rsid w:val="39283EA1"/>
    <w:rsid w:val="398B36B1"/>
    <w:rsid w:val="39AB79C4"/>
    <w:rsid w:val="39B54753"/>
    <w:rsid w:val="3A015ACD"/>
    <w:rsid w:val="3A1F7433"/>
    <w:rsid w:val="3A50753E"/>
    <w:rsid w:val="3A902307"/>
    <w:rsid w:val="3A9C6BD8"/>
    <w:rsid w:val="3AD52FA7"/>
    <w:rsid w:val="3BC86C81"/>
    <w:rsid w:val="3BE10076"/>
    <w:rsid w:val="3BF162C3"/>
    <w:rsid w:val="3C5E11A2"/>
    <w:rsid w:val="3CDB31EE"/>
    <w:rsid w:val="3CDD46EC"/>
    <w:rsid w:val="3D2371C6"/>
    <w:rsid w:val="3DC10EF0"/>
    <w:rsid w:val="3DEA39D4"/>
    <w:rsid w:val="3E7778CD"/>
    <w:rsid w:val="3E8B7D96"/>
    <w:rsid w:val="3EA9500B"/>
    <w:rsid w:val="3F3F2C7F"/>
    <w:rsid w:val="3F6F2EB2"/>
    <w:rsid w:val="3F796432"/>
    <w:rsid w:val="3F82121B"/>
    <w:rsid w:val="3FD835B5"/>
    <w:rsid w:val="3FEA259C"/>
    <w:rsid w:val="401B03DB"/>
    <w:rsid w:val="40643820"/>
    <w:rsid w:val="40780A8B"/>
    <w:rsid w:val="40A71E19"/>
    <w:rsid w:val="40D861EC"/>
    <w:rsid w:val="41931F9A"/>
    <w:rsid w:val="41E26C36"/>
    <w:rsid w:val="41EF7BBE"/>
    <w:rsid w:val="41F42016"/>
    <w:rsid w:val="426D2E47"/>
    <w:rsid w:val="42787BDB"/>
    <w:rsid w:val="43001970"/>
    <w:rsid w:val="43417E2F"/>
    <w:rsid w:val="434E0F1D"/>
    <w:rsid w:val="435538A2"/>
    <w:rsid w:val="43B77719"/>
    <w:rsid w:val="43C123A5"/>
    <w:rsid w:val="43E37113"/>
    <w:rsid w:val="43EF3A01"/>
    <w:rsid w:val="43FD3346"/>
    <w:rsid w:val="443A04B0"/>
    <w:rsid w:val="444C383D"/>
    <w:rsid w:val="44791672"/>
    <w:rsid w:val="44A70A02"/>
    <w:rsid w:val="44BB4351"/>
    <w:rsid w:val="44FB24E6"/>
    <w:rsid w:val="45040BAE"/>
    <w:rsid w:val="45093488"/>
    <w:rsid w:val="450F4247"/>
    <w:rsid w:val="45163848"/>
    <w:rsid w:val="451F7F66"/>
    <w:rsid w:val="45AE2244"/>
    <w:rsid w:val="45C45A6B"/>
    <w:rsid w:val="45D1529E"/>
    <w:rsid w:val="4622553B"/>
    <w:rsid w:val="46945DEF"/>
    <w:rsid w:val="46965745"/>
    <w:rsid w:val="46970243"/>
    <w:rsid w:val="46B92BA1"/>
    <w:rsid w:val="46D5127E"/>
    <w:rsid w:val="46DA0A22"/>
    <w:rsid w:val="471F2FD0"/>
    <w:rsid w:val="472777B9"/>
    <w:rsid w:val="472E5C1A"/>
    <w:rsid w:val="475F2F4A"/>
    <w:rsid w:val="47662C27"/>
    <w:rsid w:val="476C0E21"/>
    <w:rsid w:val="477051ED"/>
    <w:rsid w:val="47E2492D"/>
    <w:rsid w:val="48AB4CC7"/>
    <w:rsid w:val="48E97646"/>
    <w:rsid w:val="490115D2"/>
    <w:rsid w:val="494321F1"/>
    <w:rsid w:val="496121BD"/>
    <w:rsid w:val="49624F05"/>
    <w:rsid w:val="49625B76"/>
    <w:rsid w:val="49AB577E"/>
    <w:rsid w:val="49D371A5"/>
    <w:rsid w:val="49F33883"/>
    <w:rsid w:val="49F66671"/>
    <w:rsid w:val="49FA0BE8"/>
    <w:rsid w:val="4A2114CE"/>
    <w:rsid w:val="4A7279C0"/>
    <w:rsid w:val="4A7D54AB"/>
    <w:rsid w:val="4AA04DE4"/>
    <w:rsid w:val="4AAA67AD"/>
    <w:rsid w:val="4B0020D2"/>
    <w:rsid w:val="4B31141E"/>
    <w:rsid w:val="4BBE3774"/>
    <w:rsid w:val="4BDF4E6D"/>
    <w:rsid w:val="4CC85E26"/>
    <w:rsid w:val="4CCF5FE7"/>
    <w:rsid w:val="4CF03307"/>
    <w:rsid w:val="4DB41C27"/>
    <w:rsid w:val="4E3F3664"/>
    <w:rsid w:val="4E9D3644"/>
    <w:rsid w:val="4EB64F05"/>
    <w:rsid w:val="4EBB298D"/>
    <w:rsid w:val="4EC401CB"/>
    <w:rsid w:val="4ECA7529"/>
    <w:rsid w:val="4F413BB6"/>
    <w:rsid w:val="4F456865"/>
    <w:rsid w:val="4F7466CD"/>
    <w:rsid w:val="4FA862AE"/>
    <w:rsid w:val="4FCD4C75"/>
    <w:rsid w:val="50401EB5"/>
    <w:rsid w:val="50563433"/>
    <w:rsid w:val="50564A2F"/>
    <w:rsid w:val="50836B81"/>
    <w:rsid w:val="50B75D74"/>
    <w:rsid w:val="50E577B2"/>
    <w:rsid w:val="50EA703B"/>
    <w:rsid w:val="50FD6250"/>
    <w:rsid w:val="50FF4C4A"/>
    <w:rsid w:val="512138A8"/>
    <w:rsid w:val="513F0BC6"/>
    <w:rsid w:val="513F4A63"/>
    <w:rsid w:val="51554D86"/>
    <w:rsid w:val="52B7358D"/>
    <w:rsid w:val="52CB6B84"/>
    <w:rsid w:val="534C1B41"/>
    <w:rsid w:val="535C28FF"/>
    <w:rsid w:val="536B35F1"/>
    <w:rsid w:val="53717208"/>
    <w:rsid w:val="538378D1"/>
    <w:rsid w:val="53C05963"/>
    <w:rsid w:val="53E0716E"/>
    <w:rsid w:val="53E8639A"/>
    <w:rsid w:val="540E59E9"/>
    <w:rsid w:val="5417592A"/>
    <w:rsid w:val="545030B8"/>
    <w:rsid w:val="54A707BC"/>
    <w:rsid w:val="54AC5F44"/>
    <w:rsid w:val="55551179"/>
    <w:rsid w:val="55E1719C"/>
    <w:rsid w:val="56235510"/>
    <w:rsid w:val="56446001"/>
    <w:rsid w:val="569278D7"/>
    <w:rsid w:val="56CD1F62"/>
    <w:rsid w:val="56FA0671"/>
    <w:rsid w:val="573C6269"/>
    <w:rsid w:val="57491565"/>
    <w:rsid w:val="575020D2"/>
    <w:rsid w:val="57831159"/>
    <w:rsid w:val="5789273C"/>
    <w:rsid w:val="588957FE"/>
    <w:rsid w:val="591B6E42"/>
    <w:rsid w:val="594173D9"/>
    <w:rsid w:val="59664D6F"/>
    <w:rsid w:val="59710644"/>
    <w:rsid w:val="597873C1"/>
    <w:rsid w:val="599322F7"/>
    <w:rsid w:val="59B26615"/>
    <w:rsid w:val="59F90B2B"/>
    <w:rsid w:val="59F958B8"/>
    <w:rsid w:val="5A1F0FF0"/>
    <w:rsid w:val="5A2173B3"/>
    <w:rsid w:val="5A2A7DF6"/>
    <w:rsid w:val="5A301294"/>
    <w:rsid w:val="5A4628D7"/>
    <w:rsid w:val="5A626930"/>
    <w:rsid w:val="5A8E76A7"/>
    <w:rsid w:val="5AB56E7F"/>
    <w:rsid w:val="5AE400AC"/>
    <w:rsid w:val="5B2708B0"/>
    <w:rsid w:val="5BA83C14"/>
    <w:rsid w:val="5BF306C2"/>
    <w:rsid w:val="5C3F6F0D"/>
    <w:rsid w:val="5C504DD8"/>
    <w:rsid w:val="5C8578E5"/>
    <w:rsid w:val="5C905CA8"/>
    <w:rsid w:val="5CDC67EF"/>
    <w:rsid w:val="5D07760F"/>
    <w:rsid w:val="5D10780F"/>
    <w:rsid w:val="5D83199A"/>
    <w:rsid w:val="5D9678B9"/>
    <w:rsid w:val="5D9E2631"/>
    <w:rsid w:val="5E51736E"/>
    <w:rsid w:val="5F7C4D9B"/>
    <w:rsid w:val="5FA93496"/>
    <w:rsid w:val="5FF227DA"/>
    <w:rsid w:val="604078CB"/>
    <w:rsid w:val="606162B4"/>
    <w:rsid w:val="60A21F18"/>
    <w:rsid w:val="6112657D"/>
    <w:rsid w:val="61295318"/>
    <w:rsid w:val="614F47F2"/>
    <w:rsid w:val="61555FDD"/>
    <w:rsid w:val="61A50F5E"/>
    <w:rsid w:val="61AF769D"/>
    <w:rsid w:val="61CD652B"/>
    <w:rsid w:val="61F80F35"/>
    <w:rsid w:val="622E642E"/>
    <w:rsid w:val="622E6F37"/>
    <w:rsid w:val="623A4168"/>
    <w:rsid w:val="62E43ED5"/>
    <w:rsid w:val="62FB02E6"/>
    <w:rsid w:val="632622AD"/>
    <w:rsid w:val="639232BE"/>
    <w:rsid w:val="63C26603"/>
    <w:rsid w:val="63E24B15"/>
    <w:rsid w:val="64014790"/>
    <w:rsid w:val="641D0761"/>
    <w:rsid w:val="64C31643"/>
    <w:rsid w:val="65117F61"/>
    <w:rsid w:val="652A5C1B"/>
    <w:rsid w:val="65960912"/>
    <w:rsid w:val="65F80FB5"/>
    <w:rsid w:val="661016F4"/>
    <w:rsid w:val="66564F2B"/>
    <w:rsid w:val="667D39EF"/>
    <w:rsid w:val="6685748C"/>
    <w:rsid w:val="66925AD1"/>
    <w:rsid w:val="672B54A7"/>
    <w:rsid w:val="67380B1A"/>
    <w:rsid w:val="673A3FD2"/>
    <w:rsid w:val="67517602"/>
    <w:rsid w:val="676E5C0D"/>
    <w:rsid w:val="676E6176"/>
    <w:rsid w:val="677F29B4"/>
    <w:rsid w:val="67945332"/>
    <w:rsid w:val="67A00B46"/>
    <w:rsid w:val="67B41DFC"/>
    <w:rsid w:val="67D6379C"/>
    <w:rsid w:val="67F210B3"/>
    <w:rsid w:val="67F30909"/>
    <w:rsid w:val="684F4EC8"/>
    <w:rsid w:val="68FB1CAC"/>
    <w:rsid w:val="690D3B40"/>
    <w:rsid w:val="69E668CC"/>
    <w:rsid w:val="69E67F84"/>
    <w:rsid w:val="6A8046FF"/>
    <w:rsid w:val="6AA504AE"/>
    <w:rsid w:val="6AF27BC6"/>
    <w:rsid w:val="6B1C6C0E"/>
    <w:rsid w:val="6B3D3A21"/>
    <w:rsid w:val="6B522807"/>
    <w:rsid w:val="6B721A2E"/>
    <w:rsid w:val="6B853A16"/>
    <w:rsid w:val="6B862FDD"/>
    <w:rsid w:val="6BCF0C22"/>
    <w:rsid w:val="6C022850"/>
    <w:rsid w:val="6C2076A5"/>
    <w:rsid w:val="6C2B1406"/>
    <w:rsid w:val="6C391ED4"/>
    <w:rsid w:val="6C5728CF"/>
    <w:rsid w:val="6CC26479"/>
    <w:rsid w:val="6CCC73DE"/>
    <w:rsid w:val="6CD27DE8"/>
    <w:rsid w:val="6CDF388D"/>
    <w:rsid w:val="6CE54522"/>
    <w:rsid w:val="6CEA4DD4"/>
    <w:rsid w:val="6D0C09F5"/>
    <w:rsid w:val="6D556466"/>
    <w:rsid w:val="6D857B59"/>
    <w:rsid w:val="6DBA3D9F"/>
    <w:rsid w:val="6DF52550"/>
    <w:rsid w:val="6DF7340E"/>
    <w:rsid w:val="6F715FDB"/>
    <w:rsid w:val="6FC55EA5"/>
    <w:rsid w:val="6FC6534B"/>
    <w:rsid w:val="6FD4172A"/>
    <w:rsid w:val="7003762E"/>
    <w:rsid w:val="70043DA0"/>
    <w:rsid w:val="70406490"/>
    <w:rsid w:val="704F63CF"/>
    <w:rsid w:val="705975BD"/>
    <w:rsid w:val="70672C5C"/>
    <w:rsid w:val="707F6D07"/>
    <w:rsid w:val="708C477A"/>
    <w:rsid w:val="70946733"/>
    <w:rsid w:val="7101032D"/>
    <w:rsid w:val="711C2F16"/>
    <w:rsid w:val="71581F5C"/>
    <w:rsid w:val="71776753"/>
    <w:rsid w:val="717A5D42"/>
    <w:rsid w:val="717D00A0"/>
    <w:rsid w:val="717E4E94"/>
    <w:rsid w:val="71806206"/>
    <w:rsid w:val="71E718AE"/>
    <w:rsid w:val="723256AE"/>
    <w:rsid w:val="72426C57"/>
    <w:rsid w:val="72620D80"/>
    <w:rsid w:val="727845D2"/>
    <w:rsid w:val="72860051"/>
    <w:rsid w:val="729727C5"/>
    <w:rsid w:val="729C5F9E"/>
    <w:rsid w:val="72C34FC1"/>
    <w:rsid w:val="72D772ED"/>
    <w:rsid w:val="72D93222"/>
    <w:rsid w:val="74295B10"/>
    <w:rsid w:val="744246CD"/>
    <w:rsid w:val="744E32F1"/>
    <w:rsid w:val="74823416"/>
    <w:rsid w:val="74927232"/>
    <w:rsid w:val="74AE0444"/>
    <w:rsid w:val="74C00AF1"/>
    <w:rsid w:val="751C1153"/>
    <w:rsid w:val="758636FF"/>
    <w:rsid w:val="75904E3A"/>
    <w:rsid w:val="75A76819"/>
    <w:rsid w:val="760266B1"/>
    <w:rsid w:val="760D0A2B"/>
    <w:rsid w:val="761D2618"/>
    <w:rsid w:val="764C2445"/>
    <w:rsid w:val="76A23C5C"/>
    <w:rsid w:val="78292FAD"/>
    <w:rsid w:val="784B4BDC"/>
    <w:rsid w:val="784E0831"/>
    <w:rsid w:val="78747C83"/>
    <w:rsid w:val="78883DA8"/>
    <w:rsid w:val="78EA70A7"/>
    <w:rsid w:val="79657FAF"/>
    <w:rsid w:val="799140B4"/>
    <w:rsid w:val="79E74C15"/>
    <w:rsid w:val="79FF3597"/>
    <w:rsid w:val="7A107EBD"/>
    <w:rsid w:val="7A1D3217"/>
    <w:rsid w:val="7A7B2028"/>
    <w:rsid w:val="7ABC2453"/>
    <w:rsid w:val="7AC60433"/>
    <w:rsid w:val="7AD6267E"/>
    <w:rsid w:val="7AEF03A1"/>
    <w:rsid w:val="7B0A5D72"/>
    <w:rsid w:val="7B5214A2"/>
    <w:rsid w:val="7B6B1A54"/>
    <w:rsid w:val="7B6E3676"/>
    <w:rsid w:val="7B710DD2"/>
    <w:rsid w:val="7BCA3986"/>
    <w:rsid w:val="7BE052A7"/>
    <w:rsid w:val="7C660211"/>
    <w:rsid w:val="7C81056F"/>
    <w:rsid w:val="7C852D0B"/>
    <w:rsid w:val="7C925475"/>
    <w:rsid w:val="7CE96ED6"/>
    <w:rsid w:val="7D172F96"/>
    <w:rsid w:val="7D3C7423"/>
    <w:rsid w:val="7E0D2692"/>
    <w:rsid w:val="7E640AFC"/>
    <w:rsid w:val="7EB11284"/>
    <w:rsid w:val="7ED65DDC"/>
    <w:rsid w:val="7EDF5CB8"/>
    <w:rsid w:val="7F7230E5"/>
    <w:rsid w:val="7F883E87"/>
    <w:rsid w:val="7F9422AE"/>
    <w:rsid w:val="7FBD5110"/>
    <w:rsid w:val="7FD6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mbria" w:hAnsi="Cambria" w:eastAsia="宋体" w:cs="Times New Roman"/>
      <w:sz w:val="22"/>
      <w:szCs w:val="22"/>
      <w:lang w:val="en-US" w:eastAsia="en-US" w:bidi="en-US"/>
    </w:rPr>
  </w:style>
  <w:style w:type="paragraph" w:styleId="3">
    <w:name w:val="heading 1"/>
    <w:basedOn w:val="1"/>
    <w:next w:val="1"/>
    <w:link w:val="21"/>
    <w:qFormat/>
    <w:uiPriority w:val="9"/>
    <w:pPr>
      <w:spacing w:before="480" w:after="0"/>
      <w:contextualSpacing/>
      <w:outlineLvl w:val="0"/>
    </w:pPr>
    <w:rPr>
      <w:smallCaps/>
      <w:spacing w:val="5"/>
      <w:sz w:val="36"/>
      <w:szCs w:val="36"/>
    </w:rPr>
  </w:style>
  <w:style w:type="paragraph" w:styleId="4">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spacing w:after="180" w:line="400" w:lineRule="atLeast"/>
      <w:ind w:firstLine="420"/>
      <w:jc w:val="left"/>
    </w:pPr>
    <w:rPr>
      <w:rFonts w:ascii="长城楷体" w:hAnsi="Tms Rmn" w:eastAsia="长城楷体"/>
      <w:sz w:val="28"/>
      <w:szCs w:val="20"/>
    </w:rPr>
  </w:style>
  <w:style w:type="paragraph" w:styleId="5">
    <w:name w:val="annotation text"/>
    <w:basedOn w:val="1"/>
    <w:semiHidden/>
    <w:unhideWhenUsed/>
    <w:qFormat/>
    <w:uiPriority w:val="99"/>
    <w:pPr>
      <w:jc w:val="left"/>
    </w:pPr>
  </w:style>
  <w:style w:type="paragraph" w:styleId="6">
    <w:name w:val="Body Text"/>
    <w:basedOn w:val="1"/>
    <w:link w:val="16"/>
    <w:semiHidden/>
    <w:unhideWhenUsed/>
    <w:qFormat/>
    <w:uiPriority w:val="99"/>
    <w:pPr>
      <w:spacing w:after="120"/>
    </w:pPr>
  </w:style>
  <w:style w:type="paragraph" w:styleId="7">
    <w:name w:val="Balloon Text"/>
    <w:basedOn w:val="1"/>
    <w:link w:val="18"/>
    <w:semiHidden/>
    <w:unhideWhenUsed/>
    <w:qFormat/>
    <w:uiPriority w:val="99"/>
    <w:pPr>
      <w:spacing w:after="0" w:line="240" w:lineRule="auto"/>
    </w:pPr>
    <w:rPr>
      <w:sz w:val="18"/>
      <w:szCs w:val="18"/>
    </w:rPr>
  </w:style>
  <w:style w:type="paragraph" w:styleId="8">
    <w:name w:val="footer"/>
    <w:basedOn w:val="1"/>
    <w:link w:val="20"/>
    <w:unhideWhenUsed/>
    <w:qFormat/>
    <w:uiPriority w:val="0"/>
    <w:pPr>
      <w:tabs>
        <w:tab w:val="center" w:pos="4153"/>
        <w:tab w:val="right" w:pos="8306"/>
      </w:tabs>
      <w:snapToGrid w:val="0"/>
      <w:spacing w:line="240" w:lineRule="auto"/>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First Indent"/>
    <w:basedOn w:val="6"/>
    <w:link w:val="17"/>
    <w:qFormat/>
    <w:uiPriority w:val="0"/>
    <w:pPr>
      <w:ind w:firstLine="420"/>
    </w:pPr>
    <w:rPr>
      <w:szCs w:val="20"/>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正文文本 字符"/>
    <w:basedOn w:val="14"/>
    <w:link w:val="6"/>
    <w:semiHidden/>
    <w:qFormat/>
    <w:uiPriority w:val="99"/>
    <w:rPr>
      <w:rFonts w:ascii="Cambria" w:hAnsi="Cambria" w:eastAsia="宋体" w:cs="Times New Roman"/>
      <w:kern w:val="0"/>
      <w:sz w:val="22"/>
      <w:lang w:eastAsia="en-US" w:bidi="en-US"/>
    </w:rPr>
  </w:style>
  <w:style w:type="character" w:customStyle="1" w:styleId="17">
    <w:name w:val="正文文本首行缩进 字符"/>
    <w:basedOn w:val="16"/>
    <w:link w:val="12"/>
    <w:qFormat/>
    <w:uiPriority w:val="0"/>
    <w:rPr>
      <w:rFonts w:ascii="Cambria" w:hAnsi="Cambria" w:eastAsia="宋体" w:cs="Times New Roman"/>
      <w:kern w:val="0"/>
      <w:sz w:val="22"/>
      <w:szCs w:val="20"/>
      <w:lang w:eastAsia="en-US" w:bidi="en-US"/>
    </w:rPr>
  </w:style>
  <w:style w:type="character" w:customStyle="1" w:styleId="18">
    <w:name w:val="批注框文本 字符"/>
    <w:basedOn w:val="14"/>
    <w:link w:val="7"/>
    <w:semiHidden/>
    <w:qFormat/>
    <w:uiPriority w:val="99"/>
    <w:rPr>
      <w:rFonts w:ascii="Cambria" w:hAnsi="Cambria" w:eastAsia="宋体" w:cs="Times New Roman"/>
      <w:kern w:val="0"/>
      <w:sz w:val="18"/>
      <w:szCs w:val="18"/>
      <w:lang w:eastAsia="en-US" w:bidi="en-US"/>
    </w:rPr>
  </w:style>
  <w:style w:type="character" w:customStyle="1" w:styleId="19">
    <w:name w:val="页眉 字符"/>
    <w:basedOn w:val="14"/>
    <w:link w:val="9"/>
    <w:semiHidden/>
    <w:qFormat/>
    <w:uiPriority w:val="99"/>
    <w:rPr>
      <w:rFonts w:ascii="Cambria" w:hAnsi="Cambria" w:eastAsia="宋体" w:cs="Times New Roman"/>
      <w:kern w:val="0"/>
      <w:sz w:val="18"/>
      <w:szCs w:val="18"/>
      <w:lang w:eastAsia="en-US" w:bidi="en-US"/>
    </w:rPr>
  </w:style>
  <w:style w:type="character" w:customStyle="1" w:styleId="20">
    <w:name w:val="页脚 字符"/>
    <w:basedOn w:val="14"/>
    <w:link w:val="8"/>
    <w:semiHidden/>
    <w:qFormat/>
    <w:uiPriority w:val="99"/>
    <w:rPr>
      <w:rFonts w:ascii="Cambria" w:hAnsi="Cambria" w:eastAsia="宋体" w:cs="Times New Roman"/>
      <w:kern w:val="0"/>
      <w:sz w:val="18"/>
      <w:szCs w:val="18"/>
      <w:lang w:eastAsia="en-US" w:bidi="en-US"/>
    </w:rPr>
  </w:style>
  <w:style w:type="character" w:customStyle="1" w:styleId="21">
    <w:name w:val="标题 1 字符"/>
    <w:basedOn w:val="14"/>
    <w:link w:val="3"/>
    <w:qFormat/>
    <w:uiPriority w:val="9"/>
    <w:rPr>
      <w:rFonts w:ascii="Cambria" w:hAnsi="Cambria" w:eastAsia="宋体" w:cs="Times New Roman"/>
      <w:smallCaps/>
      <w:spacing w:val="5"/>
      <w:kern w:val="0"/>
      <w:sz w:val="36"/>
      <w:szCs w:val="36"/>
      <w:lang w:eastAsia="en-US" w:bidi="en-US"/>
    </w:rPr>
  </w:style>
  <w:style w:type="character" w:customStyle="1" w:styleId="22">
    <w:name w:val="标题 2 字符"/>
    <w:basedOn w:val="14"/>
    <w:link w:val="4"/>
    <w:semiHidden/>
    <w:qFormat/>
    <w:uiPriority w:val="9"/>
    <w:rPr>
      <w:rFonts w:asciiTheme="majorHAnsi" w:hAnsiTheme="majorHAnsi" w:eastAsiaTheme="majorEastAsia" w:cstheme="majorBidi"/>
      <w:b/>
      <w:bCs/>
      <w:kern w:val="0"/>
      <w:sz w:val="32"/>
      <w:szCs w:val="32"/>
      <w:lang w:eastAsia="en-US" w:bidi="en-US"/>
    </w:rPr>
  </w:style>
  <w:style w:type="paragraph" w:styleId="23">
    <w:name w:val="List Paragraph"/>
    <w:basedOn w:val="1"/>
    <w:qFormat/>
    <w:uiPriority w:val="34"/>
    <w:pPr>
      <w:ind w:firstLine="420" w:firstLineChars="200"/>
    </w:pPr>
  </w:style>
  <w:style w:type="paragraph" w:customStyle="1" w:styleId="24">
    <w:name w:val="TOC 标题1"/>
    <w:basedOn w:val="3"/>
    <w:next w:val="1"/>
    <w:semiHidden/>
    <w:unhideWhenUsed/>
    <w:qFormat/>
    <w:uiPriority w:val="39"/>
    <w:pPr>
      <w:keepNext/>
      <w:keepLines/>
      <w:contextualSpacing w:val="0"/>
      <w:outlineLvl w:val="9"/>
    </w:pPr>
    <w:rPr>
      <w:rFonts w:asciiTheme="majorHAnsi" w:hAnsiTheme="majorHAnsi" w:eastAsiaTheme="majorEastAsia" w:cstheme="majorBidi"/>
      <w:b/>
      <w:bCs/>
      <w:smallCaps w:val="0"/>
      <w:color w:val="376092" w:themeColor="accent1" w:themeShade="BF"/>
      <w:spacing w:val="0"/>
      <w:sz w:val="28"/>
      <w:szCs w:val="28"/>
      <w:lang w:eastAsia="zh-CN" w:bidi="ar-SA"/>
    </w:rPr>
  </w:style>
  <w:style w:type="character" w:customStyle="1" w:styleId="25">
    <w:name w:val="页眉 Char"/>
    <w:semiHidden/>
    <w:qFormat/>
    <w:uiPriority w:val="99"/>
    <w:rPr>
      <w:rFonts w:ascii="Cambria" w:hAnsi="Cambria" w:eastAsia="宋体" w:cs="Times New Roman"/>
      <w:kern w:val="0"/>
      <w:sz w:val="18"/>
      <w:szCs w:val="18"/>
      <w:lang w:eastAsia="en-US" w:bidi="en-US"/>
    </w:rPr>
  </w:style>
  <w:style w:type="character" w:customStyle="1" w:styleId="26">
    <w:name w:val="font11"/>
    <w:basedOn w:val="14"/>
    <w:qFormat/>
    <w:uiPriority w:val="0"/>
    <w:rPr>
      <w:rFonts w:hint="eastAsia" w:ascii="仿宋" w:hAnsi="仿宋" w:eastAsia="仿宋" w:cs="仿宋"/>
      <w:color w:val="000000"/>
      <w:sz w:val="18"/>
      <w:szCs w:val="18"/>
      <w:u w:val="none"/>
    </w:rPr>
  </w:style>
  <w:style w:type="character" w:customStyle="1" w:styleId="27">
    <w:name w:val="font3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kb\Desktop\PXAL-AS0202-&#27169;&#26495;-&#35780;&#20272;&#25253;&#21578;-&#20225;&#19994;&#20215;&#20540;-&#38750;&#22269;&#36164;&#31867;-2018&#292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0085F-D48B-4AF2-BF29-28EC92034613}">
  <ds:schemaRefs/>
</ds:datastoreItem>
</file>

<file path=docProps/app.xml><?xml version="1.0" encoding="utf-8"?>
<Properties xmlns="http://schemas.openxmlformats.org/officeDocument/2006/extended-properties" xmlns:vt="http://schemas.openxmlformats.org/officeDocument/2006/docPropsVTypes">
  <Template>PXAL-AS0202-模板-评估报告-企业价值-非国资类-2018版</Template>
  <Company>微软中国</Company>
  <Pages>16</Pages>
  <Words>10366</Words>
  <Characters>10968</Characters>
  <Lines>124</Lines>
  <Paragraphs>35</Paragraphs>
  <TotalTime>0</TotalTime>
  <ScaleCrop>false</ScaleCrop>
  <LinksUpToDate>false</LinksUpToDate>
  <CharactersWithSpaces>11035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2018-01-24T08:10:00Z</dcterms:created>
  <dc:creator>kmkb</dc:creator>
  <cp:lastModifiedBy>lenovo</cp:lastModifiedBy>
  <cp:lastPrinted>2022-10-10T06:39:00Z</cp:lastPrinted>
  <dcterms:modified xsi:type="dcterms:W3CDTF">2022-10-14T03:16:30Z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0186D3F55F184B6DAC0B968A688DFE13</vt:lpwstr>
  </property>
</Properties>
</file>