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topLinePunct w:val="0"/>
        <w:autoSpaceDE/>
        <w:autoSpaceDN/>
        <w:bidi w:val="0"/>
        <w:spacing w:before="0" w:after="0" w:line="560" w:lineRule="exact"/>
        <w:ind w:left="0" w:right="0" w:firstLine="0"/>
        <w:jc w:val="right"/>
        <w:textAlignment w:val="auto"/>
        <w:rPr>
          <w:rFonts w:ascii="Times New Roman" w:hAnsi="Times New Roman" w:eastAsia="方正黑体_GBK" w:cs="Times New Roman"/>
          <w:color w:val="000000"/>
          <w:spacing w:val="0"/>
          <w:w w:val="100"/>
          <w:kern w:val="2"/>
          <w:position w:val="0"/>
          <w:sz w:val="32"/>
          <w:szCs w:val="32"/>
          <w:shd w:val="clear"/>
          <w:lang w:eastAsia="zh-CN" w:bidi="ar-SA"/>
        </w:rPr>
      </w:pPr>
      <w:bookmarkStart w:id="0" w:name="bookmark10"/>
      <w:bookmarkStart w:id="1" w:name="bookmark9"/>
      <w:bookmarkStart w:id="2" w:name="bookmark11"/>
    </w:p>
    <w:p>
      <w:pPr>
        <w:keepNext w:val="0"/>
        <w:keepLines w:val="0"/>
        <w:pageBreakBefore w:val="0"/>
        <w:widowControl/>
        <w:shd w:val="clear"/>
        <w:kinsoku/>
        <w:wordWrap/>
        <w:topLinePunct w:val="0"/>
        <w:autoSpaceDE/>
        <w:autoSpaceDN/>
        <w:bidi w:val="0"/>
        <w:adjustRightInd w:val="0"/>
        <w:snapToGrid w:val="0"/>
        <w:spacing w:before="0" w:after="0" w:line="560" w:lineRule="exact"/>
        <w:ind w:left="0" w:right="0" w:firstLine="0"/>
        <w:jc w:val="both"/>
        <w:textAlignment w:val="auto"/>
        <w:rPr>
          <w:rFonts w:ascii="Times New Roman" w:hAnsi="Times New Roman" w:eastAsia="方正小标宋_GBK" w:cs="Times New Roman"/>
          <w:color w:val="000000"/>
          <w:spacing w:val="0"/>
          <w:w w:val="100"/>
          <w:kern w:val="0"/>
          <w:position w:val="0"/>
          <w:sz w:val="44"/>
          <w:szCs w:val="44"/>
          <w:shd w:val="clear"/>
          <w:lang w:eastAsia="zh-CN" w:bidi="ar-SA"/>
        </w:rPr>
      </w:pPr>
      <w:bookmarkStart w:id="4" w:name="_GoBack"/>
      <w:bookmarkEnd w:id="4"/>
      <w:bookmarkStart w:id="3" w:name="bookmark0"/>
    </w:p>
    <w:bookmarkEnd w:id="3"/>
    <w:p>
      <w:pPr>
        <w:keepNext w:val="0"/>
        <w:keepLines w:val="0"/>
        <w:pageBreakBefore w:val="0"/>
        <w:widowControl w:val="0"/>
        <w:shd w:val="clear"/>
        <w:kinsoku/>
        <w:wordWrap/>
        <w:overflowPunct/>
        <w:topLinePunct w:val="0"/>
        <w:autoSpaceDE/>
        <w:autoSpaceDN/>
        <w:bidi w:val="0"/>
        <w:adjustRightInd w:val="0"/>
        <w:snapToGrid w:val="0"/>
        <w:spacing w:before="0" w:after="0" w:line="600" w:lineRule="exact"/>
        <w:ind w:left="0" w:right="0" w:firstLine="0"/>
        <w:jc w:val="center"/>
        <w:textAlignment w:val="auto"/>
        <w:rPr>
          <w:rFonts w:ascii="Times New Roman" w:hAnsi="Times New Roman" w:eastAsia="方正小标宋_GBK" w:cs="Times New Roman"/>
          <w:spacing w:val="0"/>
          <w:w w:val="100"/>
          <w:kern w:val="2"/>
          <w:position w:val="0"/>
          <w:sz w:val="44"/>
          <w:szCs w:val="44"/>
          <w:shd w:val="clear"/>
          <w:lang w:eastAsia="zh-CN" w:bidi="ar-SA"/>
        </w:rPr>
      </w:pPr>
      <w:r>
        <w:rPr>
          <w:rFonts w:ascii="Times New Roman" w:hAnsi="Times New Roman" w:eastAsia="方正小标宋_GBK" w:cs="Times New Roman"/>
          <w:spacing w:val="0"/>
          <w:w w:val="100"/>
          <w:kern w:val="2"/>
          <w:position w:val="0"/>
          <w:sz w:val="44"/>
          <w:szCs w:val="44"/>
          <w:shd w:val="clear"/>
          <w:lang w:eastAsia="zh-CN" w:bidi="ar-SA"/>
        </w:rPr>
        <w:t>曲靖市麒麟区人民政府办公室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napToGrid/>
          <w:color w:val="000000" w:themeColor="text1"/>
          <w:spacing w:val="0"/>
          <w:w w:val="100"/>
          <w:kern w:val="2"/>
          <w:position w:val="0"/>
          <w:sz w:val="44"/>
          <w:szCs w:val="44"/>
          <w:shd w:val="clear"/>
          <w:lang w:val="en-US" w:eastAsia="zh-CN" w:bidi="ar-SA"/>
          <w14:textFill>
            <w14:solidFill>
              <w14:schemeClr w14:val="tx1"/>
            </w14:solidFill>
          </w14:textFill>
        </w:rPr>
      </w:pPr>
      <w:r>
        <w:rPr>
          <w:rFonts w:hint="default" w:ascii="Times New Roman" w:hAnsi="Times New Roman" w:eastAsia="方正小标宋_GBK" w:cs="Times New Roman"/>
          <w:b w:val="0"/>
          <w:bCs w:val="0"/>
          <w:color w:val="auto"/>
          <w:spacing w:val="0"/>
          <w:w w:val="100"/>
          <w:kern w:val="2"/>
          <w:position w:val="0"/>
          <w:sz w:val="44"/>
          <w:szCs w:val="44"/>
          <w:highlight w:val="none"/>
          <w:u w:val="none"/>
          <w:shd w:val="clear"/>
          <w:lang w:val="en-US" w:eastAsia="zh-CN" w:bidi="ar-SA"/>
        </w:rPr>
        <w:t>关于印发</w:t>
      </w:r>
      <w:r>
        <w:rPr>
          <w:rFonts w:hint="default" w:ascii="Times New Roman" w:hAnsi="Times New Roman" w:eastAsia="方正小标宋_GBK" w:cs="Times New Roman"/>
          <w:snapToGrid/>
          <w:color w:val="000000" w:themeColor="text1"/>
          <w:spacing w:val="0"/>
          <w:w w:val="100"/>
          <w:kern w:val="2"/>
          <w:position w:val="0"/>
          <w:sz w:val="44"/>
          <w:szCs w:val="44"/>
          <w:shd w:val="clear"/>
          <w:lang w:val="en-US" w:eastAsia="zh-CN" w:bidi="ar-SA"/>
          <w14:textFill>
            <w14:solidFill>
              <w14:schemeClr w14:val="tx1"/>
            </w14:solidFill>
          </w14:textFill>
        </w:rPr>
        <w:t>麒麟区区属企业</w:t>
      </w:r>
      <w:r>
        <w:rPr>
          <w:rFonts w:hint="eastAsia" w:ascii="方正小标宋_GBK" w:hAnsi="方正小标宋_GBK" w:eastAsia="方正小标宋_GBK" w:cs="方正小标宋_GBK"/>
          <w:snapToGrid/>
          <w:color w:val="000000" w:themeColor="text1"/>
          <w:spacing w:val="0"/>
          <w:w w:val="100"/>
          <w:kern w:val="2"/>
          <w:position w:val="0"/>
          <w:sz w:val="44"/>
          <w:szCs w:val="44"/>
          <w:shd w:val="clear"/>
          <w:lang w:val="en-US" w:eastAsia="zh-CN" w:bidi="ar-SA"/>
          <w14:textFill>
            <w14:solidFill>
              <w14:schemeClr w14:val="tx1"/>
            </w14:solidFill>
          </w14:textFill>
        </w:rPr>
        <w:t>经营业绩考核办法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color w:val="auto"/>
          <w:spacing w:val="0"/>
          <w:w w:val="100"/>
          <w:kern w:val="2"/>
          <w:position w:val="0"/>
          <w:sz w:val="44"/>
          <w:szCs w:val="44"/>
          <w:highlight w:val="none"/>
          <w:u w:val="none"/>
          <w:shd w:val="clear"/>
          <w:lang w:val="en-US" w:eastAsia="zh-CN" w:bidi="ar-SA"/>
        </w:rPr>
      </w:pPr>
      <w:r>
        <w:rPr>
          <w:rFonts w:hint="default" w:ascii="Times New Roman" w:hAnsi="Times New Roman" w:eastAsia="方正小标宋_GBK" w:cs="Times New Roman"/>
          <w:snapToGrid/>
          <w:color w:val="000000" w:themeColor="text1"/>
          <w:spacing w:val="0"/>
          <w:w w:val="100"/>
          <w:kern w:val="2"/>
          <w:position w:val="0"/>
          <w:sz w:val="44"/>
          <w:szCs w:val="44"/>
          <w:shd w:val="clear"/>
          <w:lang w:val="en-US" w:eastAsia="zh-CN" w:bidi="ar-SA"/>
          <w14:textFill>
            <w14:solidFill>
              <w14:schemeClr w14:val="tx1"/>
            </w14:solidFill>
          </w14:textFill>
        </w:rPr>
        <w:t>（试行）</w:t>
      </w:r>
      <w:r>
        <w:rPr>
          <w:rFonts w:hint="default" w:ascii="Times New Roman" w:hAnsi="Times New Roman" w:eastAsia="方正小标宋_GBK" w:cs="Times New Roman"/>
          <w:b w:val="0"/>
          <w:bCs w:val="0"/>
          <w:color w:val="auto"/>
          <w:spacing w:val="0"/>
          <w:w w:val="100"/>
          <w:kern w:val="2"/>
          <w:position w:val="0"/>
          <w:sz w:val="44"/>
          <w:szCs w:val="44"/>
          <w:highlight w:val="none"/>
          <w:u w:val="none"/>
          <w:shd w:val="clear"/>
          <w:lang w:val="en-US" w:eastAsia="zh-CN" w:bidi="ar-SA"/>
        </w:rPr>
        <w:t>的通知</w:t>
      </w:r>
    </w:p>
    <w:p>
      <w:pPr>
        <w:rPr>
          <w:rFonts w:hint="default" w:ascii="Times New Roman" w:hAnsi="Times New Roman" w:eastAsia="方正小标宋_GBK" w:cs="Times New Roman"/>
          <w:b w:val="0"/>
          <w:bCs w:val="0"/>
          <w:color w:val="auto"/>
          <w:spacing w:val="0"/>
          <w:w w:val="100"/>
          <w:kern w:val="2"/>
          <w:position w:val="0"/>
          <w:sz w:val="44"/>
          <w:szCs w:val="44"/>
          <w:highlight w:val="none"/>
          <w:u w:val="none"/>
          <w:shd w:val="clear"/>
          <w:lang w:val="en-US" w:eastAsia="zh-CN" w:bidi="ar-SA"/>
        </w:rPr>
      </w:pPr>
    </w:p>
    <w:p>
      <w:pPr>
        <w:rPr>
          <w:rFonts w:hint="default" w:ascii="Times New Roman" w:hAnsi="Times New Roman" w:eastAsia="方正仿宋_GBK" w:cs="Times New Roman"/>
          <w:b w:val="0"/>
          <w:bCs w:val="0"/>
          <w:color w:val="auto"/>
          <w:spacing w:val="0"/>
          <w:w w:val="100"/>
          <w:kern w:val="2"/>
          <w:position w:val="0"/>
          <w:sz w:val="32"/>
          <w:szCs w:val="32"/>
          <w:highlight w:val="none"/>
          <w:u w:val="none"/>
          <w:shd w:val="clear"/>
          <w:lang w:val="en-US" w:eastAsia="zh-CN" w:bidi="ar-SA"/>
        </w:rPr>
      </w:pPr>
      <w:r>
        <w:rPr>
          <w:rFonts w:hint="default" w:ascii="Times New Roman" w:hAnsi="Times New Roman" w:eastAsia="方正仿宋_GBK" w:cs="Times New Roman"/>
          <w:b w:val="0"/>
          <w:bCs w:val="0"/>
          <w:color w:val="auto"/>
          <w:spacing w:val="0"/>
          <w:w w:val="100"/>
          <w:kern w:val="2"/>
          <w:position w:val="0"/>
          <w:sz w:val="32"/>
          <w:szCs w:val="32"/>
          <w:highlight w:val="none"/>
          <w:u w:val="none"/>
          <w:shd w:val="clear"/>
          <w:lang w:val="en-US" w:eastAsia="zh-CN" w:bidi="ar-SA"/>
        </w:rPr>
        <w:t>各镇人民政府、街道办事处，区直有关单位：</w:t>
      </w:r>
    </w:p>
    <w:p>
      <w:pPr>
        <w:ind w:firstLine="640" w:firstLineChars="200"/>
        <w:rPr>
          <w:rFonts w:hint="default" w:ascii="Times New Roman" w:hAnsi="Times New Roman" w:eastAsia="方正仿宋_GBK" w:cs="Times New Roman"/>
          <w:b w:val="0"/>
          <w:bCs w:val="0"/>
          <w:color w:val="auto"/>
          <w:spacing w:val="0"/>
          <w:w w:val="100"/>
          <w:kern w:val="2"/>
          <w:position w:val="0"/>
          <w:sz w:val="32"/>
          <w:szCs w:val="32"/>
          <w:highlight w:val="none"/>
          <w:u w:val="none"/>
          <w:shd w:val="clear"/>
          <w:lang w:val="en-US" w:eastAsia="zh-CN" w:bidi="ar-SA"/>
        </w:rPr>
      </w:pPr>
      <w:r>
        <w:rPr>
          <w:rFonts w:hint="default" w:ascii="Times New Roman" w:hAnsi="Times New Roman" w:eastAsia="方正仿宋_GBK" w:cs="Times New Roman"/>
          <w:b w:val="0"/>
          <w:bCs w:val="0"/>
          <w:color w:val="auto"/>
          <w:spacing w:val="0"/>
          <w:w w:val="100"/>
          <w:kern w:val="2"/>
          <w:position w:val="0"/>
          <w:sz w:val="32"/>
          <w:szCs w:val="32"/>
          <w:highlight w:val="none"/>
          <w:u w:val="none"/>
          <w:shd w:val="clear"/>
          <w:lang w:val="en-US" w:eastAsia="zh-CN" w:bidi="ar-SA"/>
        </w:rPr>
        <w:t>现将《麒麟区区属企业经营业绩考核办法（试行）》印发给你们，请认真贯彻执行。</w:t>
      </w:r>
    </w:p>
    <w:p>
      <w:pPr>
        <w:rPr>
          <w:rFonts w:hint="default" w:ascii="Times New Roman" w:hAnsi="Times New Roman" w:cs="Times New Roman"/>
          <w:lang w:val="en-US" w:eastAsia="zh-CN"/>
        </w:rPr>
      </w:pPr>
    </w:p>
    <w:p>
      <w:pPr>
        <w:rPr>
          <w:rFonts w:hint="default" w:ascii="Times New Roman" w:hAnsi="Times New Roman" w:eastAsia="方正仿宋_GBK" w:cs="Times New Roman"/>
          <w:b w:val="0"/>
          <w:bCs w:val="0"/>
          <w:color w:val="auto"/>
          <w:spacing w:val="0"/>
          <w:w w:val="100"/>
          <w:kern w:val="2"/>
          <w:position w:val="0"/>
          <w:sz w:val="32"/>
          <w:szCs w:val="32"/>
          <w:highlight w:val="none"/>
          <w:u w:val="none"/>
          <w:shd w:val="clear"/>
          <w:lang w:val="en-US" w:eastAsia="zh-CN" w:bidi="ar-SA"/>
        </w:rPr>
      </w:pPr>
    </w:p>
    <w:p>
      <w:pPr>
        <w:jc w:val="both"/>
        <w:rPr>
          <w:rFonts w:hint="default" w:ascii="Times New Roman" w:hAnsi="Times New Roman" w:eastAsia="方正仿宋_GBK" w:cs="Times New Roman"/>
          <w:b w:val="0"/>
          <w:bCs w:val="0"/>
          <w:color w:val="auto"/>
          <w:spacing w:val="0"/>
          <w:w w:val="100"/>
          <w:kern w:val="2"/>
          <w:position w:val="0"/>
          <w:sz w:val="32"/>
          <w:szCs w:val="32"/>
          <w:highlight w:val="none"/>
          <w:u w:val="none"/>
          <w:shd w:val="clear"/>
          <w:lang w:val="en-US" w:eastAsia="zh-CN" w:bidi="ar-SA"/>
        </w:rPr>
      </w:pPr>
    </w:p>
    <w:p>
      <w:pPr>
        <w:ind w:firstLine="3520" w:firstLineChars="1100"/>
        <w:jc w:val="both"/>
        <w:rPr>
          <w:rFonts w:hint="default" w:ascii="Times New Roman" w:hAnsi="Times New Roman" w:eastAsia="方正仿宋_GBK" w:cs="Times New Roman"/>
          <w:b w:val="0"/>
          <w:bCs w:val="0"/>
          <w:color w:val="auto"/>
          <w:spacing w:val="0"/>
          <w:w w:val="100"/>
          <w:kern w:val="2"/>
          <w:position w:val="0"/>
          <w:sz w:val="32"/>
          <w:szCs w:val="32"/>
          <w:highlight w:val="none"/>
          <w:u w:val="none"/>
          <w:shd w:val="clear"/>
          <w:lang w:val="en-US" w:eastAsia="zh-CN" w:bidi="ar-SA"/>
        </w:rPr>
      </w:pPr>
      <w:r>
        <w:rPr>
          <w:rFonts w:hint="default" w:ascii="Times New Roman" w:hAnsi="Times New Roman" w:eastAsia="方正仿宋_GBK" w:cs="Times New Roman"/>
          <w:b w:val="0"/>
          <w:bCs w:val="0"/>
          <w:color w:val="auto"/>
          <w:spacing w:val="0"/>
          <w:w w:val="100"/>
          <w:kern w:val="2"/>
          <w:position w:val="0"/>
          <w:sz w:val="32"/>
          <w:szCs w:val="32"/>
          <w:highlight w:val="none"/>
          <w:u w:val="none"/>
          <w:shd w:val="clear"/>
          <w:lang w:val="en-US" w:eastAsia="zh-CN" w:bidi="ar-SA"/>
        </w:rPr>
        <w:t>曲靖市麒麟区人民政府办公室</w:t>
      </w:r>
    </w:p>
    <w:p>
      <w:pPr>
        <w:wordWrap/>
        <w:ind w:firstLine="4320" w:firstLineChars="1350"/>
        <w:jc w:val="both"/>
        <w:rPr>
          <w:rFonts w:hint="default" w:ascii="Times New Roman" w:hAnsi="Times New Roman" w:eastAsia="方正仿宋_GBK" w:cs="Times New Roman"/>
          <w:b w:val="0"/>
          <w:bCs w:val="0"/>
          <w:color w:val="auto"/>
          <w:spacing w:val="0"/>
          <w:w w:val="100"/>
          <w:kern w:val="2"/>
          <w:position w:val="0"/>
          <w:sz w:val="32"/>
          <w:szCs w:val="32"/>
          <w:highlight w:val="none"/>
          <w:u w:val="none"/>
          <w:shd w:val="clear"/>
          <w:lang w:val="en-US" w:eastAsia="zh-CN" w:bidi="ar-SA"/>
        </w:rPr>
      </w:pPr>
      <w:r>
        <w:rPr>
          <w:rFonts w:hint="default" w:ascii="Times New Roman" w:hAnsi="Times New Roman" w:eastAsia="方正仿宋_GBK" w:cs="Times New Roman"/>
          <w:b w:val="0"/>
          <w:bCs w:val="0"/>
          <w:color w:val="auto"/>
          <w:spacing w:val="0"/>
          <w:w w:val="100"/>
          <w:kern w:val="2"/>
          <w:position w:val="0"/>
          <w:sz w:val="32"/>
          <w:szCs w:val="32"/>
          <w:highlight w:val="none"/>
          <w:u w:val="none"/>
          <w:shd w:val="clear"/>
          <w:lang w:val="en-US" w:eastAsia="zh-CN" w:bidi="ar-SA"/>
        </w:rPr>
        <w:t>2022年3月30日</w:t>
      </w:r>
      <w:r>
        <w:rPr>
          <w:rFonts w:hint="eastAsia" w:ascii="Times New Roman" w:hAnsi="Times New Roman" w:eastAsia="方正仿宋_GBK" w:cs="Times New Roman"/>
          <w:b w:val="0"/>
          <w:bCs w:val="0"/>
          <w:color w:val="auto"/>
          <w:spacing w:val="0"/>
          <w:w w:val="100"/>
          <w:kern w:val="2"/>
          <w:position w:val="0"/>
          <w:sz w:val="32"/>
          <w:szCs w:val="32"/>
          <w:highlight w:val="none"/>
          <w:u w:val="none"/>
          <w:shd w:val="clear"/>
          <w:lang w:val="en-US" w:eastAsia="zh-CN" w:bidi="ar-SA"/>
        </w:rPr>
        <w:t xml:space="preserve">    </w:t>
      </w:r>
    </w:p>
    <w:p>
      <w:pPr>
        <w:rPr>
          <w:rFonts w:hint="eastAsia" w:ascii="方正小标宋_GBK" w:hAnsi="方正小标宋_GBK" w:eastAsia="方正小标宋_GBK" w:cs="方正小标宋_GBK"/>
          <w:snapToGrid/>
          <w:color w:val="000000" w:themeColor="text1"/>
          <w:spacing w:val="0"/>
          <w:w w:val="100"/>
          <w:kern w:val="2"/>
          <w:position w:val="0"/>
          <w:sz w:val="44"/>
          <w:szCs w:val="44"/>
          <w:shd w:val="clear"/>
          <w:lang w:val="en-US" w:eastAsia="zh-CN" w:bidi="ar-SA"/>
          <w14:textFill>
            <w14:solidFill>
              <w14:schemeClr w14:val="tx1"/>
            </w14:solidFill>
          </w14:textFill>
        </w:rPr>
      </w:pPr>
      <w:r>
        <w:rPr>
          <w:rFonts w:hint="eastAsia" w:ascii="方正小标宋_GBK" w:hAnsi="方正小标宋_GBK" w:eastAsia="方正小标宋_GBK" w:cs="方正小标宋_GBK"/>
          <w:snapToGrid/>
          <w:color w:val="000000" w:themeColor="text1"/>
          <w:spacing w:val="0"/>
          <w:w w:val="100"/>
          <w:kern w:val="2"/>
          <w:position w:val="0"/>
          <w:sz w:val="44"/>
          <w:szCs w:val="44"/>
          <w:shd w:val="clear"/>
          <w:lang w:val="en-US" w:eastAsia="zh-CN" w:bidi="ar-SA"/>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before="0" w:after="0" w:line="540" w:lineRule="exact"/>
        <w:ind w:left="0" w:right="0" w:firstLine="0"/>
        <w:jc w:val="center"/>
        <w:textAlignment w:val="auto"/>
        <w:rPr>
          <w:rFonts w:hint="eastAsia" w:ascii="方正小标宋_GBK" w:hAnsi="方正小标宋_GBK" w:eastAsia="方正小标宋_GBK" w:cs="方正小标宋_GBK"/>
          <w:snapToGrid/>
          <w:color w:val="000000" w:themeColor="text1"/>
          <w:spacing w:val="0"/>
          <w:w w:val="100"/>
          <w:kern w:val="2"/>
          <w:position w:val="0"/>
          <w:sz w:val="44"/>
          <w:szCs w:val="44"/>
          <w:shd w:val="clear"/>
          <w:lang w:val="en-US" w:eastAsia="zh-CN" w:bidi="ar-SA"/>
          <w14:textFill>
            <w14:solidFill>
              <w14:schemeClr w14:val="tx1"/>
            </w14:solidFill>
          </w14:textFill>
        </w:rPr>
      </w:pPr>
      <w:r>
        <w:rPr>
          <w:rFonts w:hint="eastAsia" w:ascii="方正小标宋_GBK" w:hAnsi="方正小标宋_GBK" w:eastAsia="方正小标宋_GBK" w:cs="方正小标宋_GBK"/>
          <w:snapToGrid/>
          <w:color w:val="000000" w:themeColor="text1"/>
          <w:spacing w:val="0"/>
          <w:w w:val="100"/>
          <w:kern w:val="2"/>
          <w:position w:val="0"/>
          <w:sz w:val="44"/>
          <w:szCs w:val="44"/>
          <w:shd w:val="clear"/>
          <w:lang w:val="en-US" w:eastAsia="zh-CN" w:bidi="ar-SA"/>
          <w14:textFill>
            <w14:solidFill>
              <w14:schemeClr w14:val="tx1"/>
            </w14:solidFill>
          </w14:textFill>
        </w:rPr>
        <w:t>麒麟区区属企业经营业绩考核办法（试行）</w:t>
      </w:r>
    </w:p>
    <w:bookmarkEnd w:id="0"/>
    <w:bookmarkEnd w:id="1"/>
    <w:bookmarkEnd w:id="2"/>
    <w:p>
      <w:pPr>
        <w:keepNext w:val="0"/>
        <w:keepLines w:val="0"/>
        <w:pageBreakBefore w:val="0"/>
        <w:widowControl w:val="0"/>
        <w:shd w:val="clear"/>
        <w:kinsoku/>
        <w:wordWrap/>
        <w:overflowPunct/>
        <w:topLinePunct w:val="0"/>
        <w:autoSpaceDE/>
        <w:autoSpaceDN/>
        <w:bidi w:val="0"/>
        <w:adjustRightInd/>
        <w:snapToGrid/>
        <w:spacing w:before="0" w:after="0" w:line="540" w:lineRule="exact"/>
        <w:ind w:left="0" w:right="0" w:firstLine="0"/>
        <w:jc w:val="center"/>
        <w:textAlignment w:val="auto"/>
        <w:rPr>
          <w:rFonts w:hint="eastAsia" w:ascii="楷体" w:hAnsi="楷体" w:eastAsia="楷体" w:cs="楷体"/>
          <w:snapToGrid/>
          <w:color w:val="000000" w:themeColor="text1"/>
          <w:spacing w:val="0"/>
          <w:w w:val="100"/>
          <w:kern w:val="2"/>
          <w:position w:val="0"/>
          <w:sz w:val="32"/>
          <w:szCs w:val="32"/>
          <w:shd w:val="clear"/>
          <w:lang w:val="en-US" w:eastAsia="zh-CN" w:bidi="ar-SA"/>
          <w14:textFill>
            <w14:solidFill>
              <w14:schemeClr w14:val="tx1"/>
            </w14:solidFill>
          </w14:textFill>
        </w:rPr>
      </w:pPr>
    </w:p>
    <w:p>
      <w:pPr>
        <w:pStyle w:val="12"/>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540" w:lineRule="exact"/>
        <w:ind w:left="0" w:right="0" w:firstLine="0"/>
        <w:jc w:val="center"/>
        <w:textAlignment w:val="auto"/>
        <w:rPr>
          <w:rFonts w:hint="eastAsia" w:ascii="黑体" w:hAnsi="黑体" w:eastAsia="黑体" w:cs="黑体"/>
          <w:color w:val="auto"/>
          <w:spacing w:val="0"/>
          <w:w w:val="100"/>
          <w:position w:val="0"/>
          <w:sz w:val="32"/>
          <w:szCs w:val="32"/>
          <w:highlight w:val="none"/>
        </w:rPr>
      </w:pPr>
      <w:r>
        <w:rPr>
          <w:rFonts w:hint="eastAsia" w:ascii="黑体" w:hAnsi="黑体" w:eastAsia="黑体" w:cs="黑体"/>
          <w:color w:val="auto"/>
          <w:spacing w:val="0"/>
          <w:w w:val="100"/>
          <w:position w:val="0"/>
          <w:sz w:val="32"/>
          <w:szCs w:val="32"/>
          <w:highlight w:val="none"/>
        </w:rPr>
        <w:t>第一章</w:t>
      </w:r>
      <w:r>
        <w:rPr>
          <w:rFonts w:hint="eastAsia" w:ascii="黑体" w:hAnsi="黑体" w:eastAsia="黑体" w:cs="黑体"/>
          <w:color w:val="auto"/>
          <w:spacing w:val="0"/>
          <w:w w:val="100"/>
          <w:position w:val="0"/>
          <w:sz w:val="32"/>
          <w:szCs w:val="32"/>
          <w:highlight w:val="none"/>
          <w:lang w:val="en-US" w:eastAsia="zh-CN"/>
        </w:rPr>
        <w:t xml:space="preserve"> </w:t>
      </w:r>
      <w:r>
        <w:rPr>
          <w:rFonts w:hint="eastAsia" w:ascii="黑体" w:hAnsi="黑体" w:eastAsia="黑体" w:cs="黑体"/>
          <w:color w:val="auto"/>
          <w:spacing w:val="0"/>
          <w:w w:val="100"/>
          <w:position w:val="0"/>
          <w:sz w:val="32"/>
          <w:szCs w:val="32"/>
          <w:highlight w:val="none"/>
        </w:rPr>
        <w:t>总则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第一条</w:t>
      </w:r>
      <w:r>
        <w:rPr>
          <w:rFonts w:hint="eastAsia" w:ascii="方正仿宋_GBK" w:hAnsi="方正仿宋_GBK" w:eastAsia="方正仿宋_GBK" w:cs="方正仿宋_GBK"/>
          <w:color w:val="auto"/>
          <w:sz w:val="32"/>
          <w:szCs w:val="32"/>
          <w:highlight w:val="none"/>
          <w:lang w:val="en-US" w:eastAsia="zh-CN"/>
        </w:rPr>
        <w:t xml:space="preserve"> 为切实履行企业国有资本出资人职责，建立健全有效的激励和约束机制，引导区属国有企业高质量发展，持续做强做优做大，根据《云南省人民政府办公厅关于印发云南省省</w:t>
      </w:r>
      <w:r>
        <w:rPr>
          <w:rFonts w:hint="eastAsia" w:ascii="Times New Roman" w:hAnsi="Times New Roman" w:eastAsia="方正仿宋_GBK" w:cs="Times New Roman"/>
          <w:color w:val="auto"/>
          <w:sz w:val="32"/>
          <w:szCs w:val="32"/>
          <w:highlight w:val="none"/>
          <w:lang w:val="en-US" w:eastAsia="zh-CN"/>
        </w:rPr>
        <w:t>属企业负责人经营业绩考核暂行办法的通知》（云政办规〔</w:t>
      </w:r>
      <w:r>
        <w:rPr>
          <w:rFonts w:hint="default" w:ascii="Times New Roman" w:hAnsi="Times New Roman" w:eastAsia="方正仿宋_GBK" w:cs="Times New Roman"/>
          <w:color w:val="auto"/>
          <w:sz w:val="32"/>
          <w:szCs w:val="32"/>
          <w:highlight w:val="none"/>
          <w:lang w:val="en-US" w:eastAsia="zh-CN"/>
        </w:rPr>
        <w:t>2020</w:t>
      </w:r>
      <w:r>
        <w:rPr>
          <w:rFonts w:hint="eastAsia" w:ascii="Times New Roman" w:hAnsi="Times New Roman" w:eastAsia="方正仿宋_GBK" w:cs="Times New Roman"/>
          <w:color w:val="auto"/>
          <w:sz w:val="32"/>
          <w:szCs w:val="32"/>
          <w:highlight w:val="none"/>
          <w:lang w:val="en-US" w:eastAsia="zh-CN"/>
        </w:rPr>
        <w:t>〕1号）、《曲靖市人民政府办公室关于印发〈曲靖市市属企业经营业绩考核办法（试行）〉的通知》（曲政办规〔2021〕3号）</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《麒麟区深化区属企业负责人薪酬制度改革实施方案》等有关规定，结合</w:t>
      </w:r>
      <w:r>
        <w:rPr>
          <w:rFonts w:hint="eastAsia" w:eastAsia="方正仿宋_GBK" w:cs="Times New Roman"/>
          <w:color w:val="auto"/>
          <w:sz w:val="32"/>
          <w:szCs w:val="32"/>
          <w:highlight w:val="none"/>
          <w:lang w:val="en-US" w:eastAsia="zh-CN"/>
        </w:rPr>
        <w:t>麒麟区</w:t>
      </w:r>
      <w:r>
        <w:rPr>
          <w:rFonts w:hint="eastAsia" w:ascii="Times New Roman" w:hAnsi="Times New Roman" w:eastAsia="方正仿宋_GBK" w:cs="Times New Roman"/>
          <w:color w:val="auto"/>
          <w:sz w:val="32"/>
          <w:szCs w:val="32"/>
          <w:highlight w:val="none"/>
          <w:lang w:val="en-US" w:eastAsia="zh-CN"/>
        </w:rPr>
        <w:t>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第二条</w:t>
      </w:r>
      <w:r>
        <w:rPr>
          <w:rFonts w:hint="eastAsia" w:eastAsia="方正仿宋_GBK" w:cs="Times New Roman"/>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lang w:val="en-US" w:eastAsia="zh-CN"/>
        </w:rPr>
        <w:t>本办法适用于麒麟区人民政府授权区国资监管机构履行出资人职责的区属国有企业（以下简称“区属企业”）。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default" w:ascii="方正仿宋_GBK" w:hAnsi="方正仿宋_GBK" w:eastAsia="方正仿宋_GBK" w:cs="方正仿宋_GBK"/>
          <w:b/>
          <w:bCs/>
          <w:color w:val="auto"/>
          <w:sz w:val="32"/>
          <w:szCs w:val="32"/>
          <w:highlight w:val="none"/>
          <w:lang w:val="en-US" w:eastAsia="zh-CN"/>
        </w:rPr>
        <w:t>第三条</w:t>
      </w:r>
      <w:r>
        <w:rPr>
          <w:rFonts w:hint="eastAsia" w:ascii="方正仿宋_GBK" w:hAnsi="方正仿宋_GBK" w:eastAsia="方正仿宋_GBK" w:cs="方正仿宋_GBK"/>
          <w:color w:val="auto"/>
          <w:sz w:val="32"/>
          <w:szCs w:val="32"/>
          <w:highlight w:val="none"/>
          <w:lang w:val="en-US" w:eastAsia="zh-CN"/>
        </w:rPr>
        <w:t xml:space="preserve"> 区</w:t>
      </w:r>
      <w:r>
        <w:rPr>
          <w:rFonts w:hint="default" w:ascii="方正仿宋_GBK" w:hAnsi="方正仿宋_GBK" w:eastAsia="方正仿宋_GBK" w:cs="方正仿宋_GBK"/>
          <w:color w:val="auto"/>
          <w:sz w:val="32"/>
          <w:szCs w:val="32"/>
          <w:highlight w:val="none"/>
          <w:lang w:val="en-US" w:eastAsia="zh-CN"/>
        </w:rPr>
        <w:t>属企业经营业绩考核应遵循下列原则：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default" w:ascii="方正仿宋_GBK" w:hAnsi="方正仿宋_GBK" w:eastAsia="方正仿宋_GBK" w:cs="方正仿宋_GBK"/>
          <w:color w:val="auto"/>
          <w:sz w:val="32"/>
          <w:szCs w:val="32"/>
          <w:highlight w:val="none"/>
          <w:lang w:val="en-US" w:eastAsia="zh-CN"/>
        </w:rPr>
        <w:t>（一）</w:t>
      </w:r>
      <w:r>
        <w:rPr>
          <w:rFonts w:hint="default" w:ascii="方正仿宋_GBK" w:hAnsi="方正仿宋_GBK" w:eastAsia="方正仿宋_GBK" w:cs="方正仿宋_GBK"/>
          <w:color w:val="auto"/>
          <w:sz w:val="32"/>
          <w:szCs w:val="32"/>
          <w:highlight w:val="none"/>
          <w:lang w:val="en-US" w:eastAsia="zh-CN"/>
        </w:rPr>
        <w:tab/>
      </w:r>
      <w:r>
        <w:rPr>
          <w:rFonts w:hint="default" w:ascii="方正仿宋_GBK" w:hAnsi="方正仿宋_GBK" w:eastAsia="方正仿宋_GBK" w:cs="方正仿宋_GBK"/>
          <w:color w:val="auto"/>
          <w:sz w:val="32"/>
          <w:szCs w:val="32"/>
          <w:highlight w:val="none"/>
          <w:lang w:val="en-US" w:eastAsia="zh-CN"/>
        </w:rPr>
        <w:t>坚持依法依规。严格执行国家有关法律法规，按照权利、义务、责任相统一的要求，建立健全依法合规经营、可追溯的资产经营责任制。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default" w:ascii="方正仿宋_GBK" w:hAnsi="方正仿宋_GBK" w:eastAsia="方正仿宋_GBK" w:cs="方正仿宋_GBK"/>
          <w:color w:val="auto"/>
          <w:sz w:val="32"/>
          <w:szCs w:val="32"/>
          <w:highlight w:val="none"/>
          <w:lang w:val="en-US" w:eastAsia="zh-CN"/>
        </w:rPr>
        <w:t>（二）</w:t>
      </w:r>
      <w:r>
        <w:rPr>
          <w:rFonts w:hint="default" w:ascii="方正仿宋_GBK" w:hAnsi="方正仿宋_GBK" w:eastAsia="方正仿宋_GBK" w:cs="方正仿宋_GBK"/>
          <w:color w:val="auto"/>
          <w:sz w:val="32"/>
          <w:szCs w:val="32"/>
          <w:highlight w:val="none"/>
          <w:lang w:val="en-US" w:eastAsia="zh-CN"/>
        </w:rPr>
        <w:tab/>
      </w:r>
      <w:r>
        <w:rPr>
          <w:rFonts w:hint="default" w:ascii="方正仿宋_GBK" w:hAnsi="方正仿宋_GBK" w:eastAsia="方正仿宋_GBK" w:cs="方正仿宋_GBK"/>
          <w:color w:val="auto"/>
          <w:sz w:val="32"/>
          <w:szCs w:val="32"/>
          <w:highlight w:val="none"/>
          <w:lang w:val="en-US" w:eastAsia="zh-CN"/>
        </w:rPr>
        <w:t>坚持分类考核。根据</w:t>
      </w:r>
      <w:r>
        <w:rPr>
          <w:rFonts w:hint="eastAsia" w:ascii="方正仿宋_GBK" w:hAnsi="方正仿宋_GBK" w:eastAsia="方正仿宋_GBK" w:cs="方正仿宋_GBK"/>
          <w:color w:val="auto"/>
          <w:sz w:val="32"/>
          <w:szCs w:val="32"/>
          <w:highlight w:val="none"/>
          <w:lang w:val="en-US" w:eastAsia="zh-CN"/>
        </w:rPr>
        <w:t>区</w:t>
      </w:r>
      <w:r>
        <w:rPr>
          <w:rFonts w:hint="default" w:ascii="方正仿宋_GBK" w:hAnsi="方正仿宋_GBK" w:eastAsia="方正仿宋_GBK" w:cs="方正仿宋_GBK"/>
          <w:color w:val="auto"/>
          <w:sz w:val="32"/>
          <w:szCs w:val="32"/>
          <w:highlight w:val="none"/>
          <w:lang w:val="en-US" w:eastAsia="zh-CN"/>
        </w:rPr>
        <w:t>属企业经营性质、功能定位、行业特点，“一企一策”确定考核指标，提高</w:t>
      </w:r>
      <w:r>
        <w:rPr>
          <w:rFonts w:hint="eastAsia" w:ascii="方正仿宋_GBK" w:hAnsi="方正仿宋_GBK" w:eastAsia="方正仿宋_GBK" w:cs="方正仿宋_GBK"/>
          <w:color w:val="auto"/>
          <w:sz w:val="32"/>
          <w:szCs w:val="32"/>
          <w:highlight w:val="none"/>
          <w:lang w:val="en-US" w:eastAsia="zh-CN"/>
        </w:rPr>
        <w:t>区</w:t>
      </w:r>
      <w:r>
        <w:rPr>
          <w:rFonts w:hint="default" w:ascii="方正仿宋_GBK" w:hAnsi="方正仿宋_GBK" w:eastAsia="方正仿宋_GBK" w:cs="方正仿宋_GBK"/>
          <w:color w:val="auto"/>
          <w:sz w:val="32"/>
          <w:szCs w:val="32"/>
          <w:highlight w:val="none"/>
          <w:lang w:val="en-US" w:eastAsia="zh-CN"/>
        </w:rPr>
        <w:t>属企业经营业绩考核的精准性和有效性。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default" w:ascii="方正仿宋_GBK" w:hAnsi="方正仿宋_GBK" w:eastAsia="方正仿宋_GBK" w:cs="方正仿宋_GBK"/>
          <w:color w:val="auto"/>
          <w:sz w:val="32"/>
          <w:szCs w:val="32"/>
          <w:highlight w:val="none"/>
          <w:lang w:val="en-US" w:eastAsia="zh-CN"/>
        </w:rPr>
        <w:t>（三）</w:t>
      </w:r>
      <w:r>
        <w:rPr>
          <w:rFonts w:hint="default" w:ascii="方正仿宋_GBK" w:hAnsi="方正仿宋_GBK" w:eastAsia="方正仿宋_GBK" w:cs="方正仿宋_GBK"/>
          <w:color w:val="auto"/>
          <w:sz w:val="32"/>
          <w:szCs w:val="32"/>
          <w:highlight w:val="none"/>
          <w:lang w:val="en-US" w:eastAsia="zh-CN"/>
        </w:rPr>
        <w:tab/>
      </w:r>
      <w:r>
        <w:rPr>
          <w:rFonts w:hint="default" w:ascii="方正仿宋_GBK" w:hAnsi="方正仿宋_GBK" w:eastAsia="方正仿宋_GBK" w:cs="方正仿宋_GBK"/>
          <w:color w:val="auto"/>
          <w:sz w:val="32"/>
          <w:szCs w:val="32"/>
          <w:highlight w:val="none"/>
          <w:lang w:val="en-US" w:eastAsia="zh-CN"/>
        </w:rPr>
        <w:t>坚持激励和约束相结合。按照“效益增、工资增、效益减、工资减”的同向联动原则，建立与企业负责人选任方式相匹配、与企业功能定位相适应、与经营业绩紧密挂钩的激励约束机制。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default" w:ascii="方正仿宋_GBK" w:hAnsi="方正仿宋_GBK" w:eastAsia="方正仿宋_GBK" w:cs="方正仿宋_GBK"/>
          <w:color w:val="auto"/>
          <w:sz w:val="32"/>
          <w:szCs w:val="32"/>
          <w:highlight w:val="none"/>
          <w:lang w:val="en-US" w:eastAsia="zh-CN"/>
        </w:rPr>
        <w:t>（四）坚持短期目标与长远发展相结合。根据</w:t>
      </w:r>
      <w:r>
        <w:rPr>
          <w:rFonts w:hint="eastAsia" w:ascii="方正仿宋_GBK" w:hAnsi="方正仿宋_GBK" w:eastAsia="方正仿宋_GBK" w:cs="方正仿宋_GBK"/>
          <w:color w:val="auto"/>
          <w:sz w:val="32"/>
          <w:szCs w:val="32"/>
          <w:highlight w:val="none"/>
          <w:lang w:val="en-US" w:eastAsia="zh-CN"/>
        </w:rPr>
        <w:t>区</w:t>
      </w:r>
      <w:r>
        <w:rPr>
          <w:rFonts w:hint="default" w:ascii="方正仿宋_GBK" w:hAnsi="方正仿宋_GBK" w:eastAsia="方正仿宋_GBK" w:cs="方正仿宋_GBK"/>
          <w:color w:val="auto"/>
          <w:sz w:val="32"/>
          <w:szCs w:val="32"/>
          <w:highlight w:val="none"/>
          <w:lang w:val="en-US" w:eastAsia="zh-CN"/>
        </w:rPr>
        <w:t>属企业发展规律，构建年度考核与任期考核相结合，立足当前、着眼长远的考核体系。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default" w:ascii="方正仿宋_GBK" w:hAnsi="方正仿宋_GBK" w:eastAsia="方正仿宋_GBK" w:cs="方正仿宋_GBK"/>
          <w:b/>
          <w:bCs/>
          <w:color w:val="auto"/>
          <w:sz w:val="32"/>
          <w:szCs w:val="32"/>
          <w:highlight w:val="none"/>
          <w:lang w:val="en-US" w:eastAsia="zh-CN"/>
        </w:rPr>
        <w:t>第四条</w:t>
      </w:r>
      <w:r>
        <w:rPr>
          <w:rFonts w:hint="eastAsia" w:ascii="方正仿宋_GBK" w:hAnsi="方正仿宋_GBK" w:eastAsia="方正仿宋_GBK" w:cs="方正仿宋_GBK"/>
          <w:color w:val="auto"/>
          <w:sz w:val="32"/>
          <w:szCs w:val="32"/>
          <w:highlight w:val="none"/>
          <w:lang w:val="en-US" w:eastAsia="zh-CN"/>
        </w:rPr>
        <w:t xml:space="preserve"> 区</w:t>
      </w:r>
      <w:r>
        <w:rPr>
          <w:rFonts w:hint="default" w:ascii="方正仿宋_GBK" w:hAnsi="方正仿宋_GBK" w:eastAsia="方正仿宋_GBK" w:cs="方正仿宋_GBK"/>
          <w:color w:val="auto"/>
          <w:sz w:val="32"/>
          <w:szCs w:val="32"/>
          <w:highlight w:val="none"/>
          <w:lang w:val="en-US" w:eastAsia="zh-CN"/>
        </w:rPr>
        <w:t>属企业应根据企业发展战略和年度发展目标，建立“工作有目标、管理全覆盖、考核无盲区、奖惩有依据”的全员绩效考核制度，层层落实国有资产经营责任。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p>
    <w:p>
      <w:pPr>
        <w:pStyle w:val="12"/>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540" w:lineRule="exact"/>
        <w:ind w:left="0" w:right="0" w:firstLine="0"/>
        <w:jc w:val="center"/>
        <w:textAlignment w:val="auto"/>
        <w:rPr>
          <w:rFonts w:hint="default" w:ascii="黑体" w:hAnsi="黑体" w:eastAsia="黑体" w:cs="黑体"/>
          <w:color w:val="auto"/>
          <w:spacing w:val="0"/>
          <w:w w:val="100"/>
          <w:position w:val="0"/>
          <w:sz w:val="32"/>
          <w:szCs w:val="32"/>
          <w:highlight w:val="none"/>
          <w:lang w:val="en-US" w:eastAsia="zh-CN"/>
        </w:rPr>
      </w:pPr>
      <w:r>
        <w:rPr>
          <w:rFonts w:hint="default" w:ascii="黑体" w:hAnsi="黑体" w:eastAsia="黑体" w:cs="黑体"/>
          <w:color w:val="auto"/>
          <w:spacing w:val="0"/>
          <w:w w:val="100"/>
          <w:position w:val="0"/>
          <w:sz w:val="32"/>
          <w:szCs w:val="32"/>
          <w:highlight w:val="none"/>
          <w:lang w:val="en-US" w:eastAsia="zh-CN"/>
        </w:rPr>
        <w:t>第二章</w:t>
      </w:r>
      <w:r>
        <w:rPr>
          <w:rFonts w:hint="eastAsia" w:ascii="黑体" w:hAnsi="黑体" w:eastAsia="黑体" w:cs="黑体"/>
          <w:color w:val="auto"/>
          <w:spacing w:val="0"/>
          <w:w w:val="100"/>
          <w:position w:val="0"/>
          <w:sz w:val="32"/>
          <w:szCs w:val="32"/>
          <w:highlight w:val="none"/>
          <w:lang w:val="en-US" w:eastAsia="zh-CN"/>
        </w:rPr>
        <w:t xml:space="preserve"> </w:t>
      </w:r>
      <w:r>
        <w:rPr>
          <w:rFonts w:hint="default" w:ascii="黑体" w:hAnsi="黑体" w:eastAsia="黑体" w:cs="黑体"/>
          <w:color w:val="auto"/>
          <w:spacing w:val="0"/>
          <w:w w:val="100"/>
          <w:position w:val="0"/>
          <w:sz w:val="32"/>
          <w:szCs w:val="32"/>
          <w:highlight w:val="none"/>
          <w:lang w:val="en-US" w:eastAsia="zh-CN"/>
        </w:rPr>
        <w:t>分类考核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default" w:ascii="方正仿宋_GBK" w:hAnsi="方正仿宋_GBK" w:eastAsia="方正仿宋_GBK" w:cs="方正仿宋_GBK"/>
          <w:b/>
          <w:bCs/>
          <w:color w:val="auto"/>
          <w:sz w:val="32"/>
          <w:szCs w:val="32"/>
          <w:highlight w:val="none"/>
          <w:lang w:val="en-US" w:eastAsia="zh-CN"/>
        </w:rPr>
        <w:t>第五条</w:t>
      </w:r>
      <w:r>
        <w:rPr>
          <w:rFonts w:hint="eastAsia" w:ascii="方正仿宋_GBK" w:hAnsi="方正仿宋_GBK" w:eastAsia="方正仿宋_GBK" w:cs="方正仿宋_GBK"/>
          <w:color w:val="auto"/>
          <w:sz w:val="32"/>
          <w:szCs w:val="32"/>
          <w:highlight w:val="none"/>
          <w:lang w:val="en-US" w:eastAsia="zh-CN"/>
        </w:rPr>
        <w:t xml:space="preserve"> </w:t>
      </w:r>
      <w:r>
        <w:rPr>
          <w:rFonts w:hint="default" w:ascii="方正仿宋_GBK" w:hAnsi="方正仿宋_GBK" w:eastAsia="方正仿宋_GBK" w:cs="方正仿宋_GBK"/>
          <w:color w:val="auto"/>
          <w:sz w:val="32"/>
          <w:szCs w:val="32"/>
          <w:highlight w:val="none"/>
          <w:lang w:val="en-US" w:eastAsia="zh-CN"/>
        </w:rPr>
        <w:t>按照国有企业功能界定与分类，</w:t>
      </w:r>
      <w:r>
        <w:rPr>
          <w:rFonts w:hint="eastAsia" w:ascii="方正仿宋_GBK" w:hAnsi="方正仿宋_GBK" w:eastAsia="方正仿宋_GBK" w:cs="方正仿宋_GBK"/>
          <w:color w:val="auto"/>
          <w:sz w:val="32"/>
          <w:szCs w:val="32"/>
          <w:highlight w:val="none"/>
          <w:lang w:val="en-US" w:eastAsia="zh-CN"/>
        </w:rPr>
        <w:t>区</w:t>
      </w:r>
      <w:r>
        <w:rPr>
          <w:rFonts w:hint="default" w:ascii="方正仿宋_GBK" w:hAnsi="方正仿宋_GBK" w:eastAsia="方正仿宋_GBK" w:cs="方正仿宋_GBK"/>
          <w:color w:val="auto"/>
          <w:sz w:val="32"/>
          <w:szCs w:val="32"/>
          <w:highlight w:val="none"/>
          <w:lang w:val="en-US" w:eastAsia="zh-CN"/>
        </w:rPr>
        <w:t>属企业分为商业一类、商业二类和公益类。根据国有资本的战略地位和发展目标,对不同功能和类别的企业，突出不同考核重点，合理设置经营业绩考核指标及权重，实施分类考核。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default" w:ascii="方正仿宋_GBK" w:hAnsi="方正仿宋_GBK" w:eastAsia="方正仿宋_GBK" w:cs="方正仿宋_GBK"/>
          <w:b/>
          <w:bCs/>
          <w:color w:val="auto"/>
          <w:sz w:val="32"/>
          <w:szCs w:val="32"/>
          <w:highlight w:val="none"/>
          <w:lang w:val="en-US" w:eastAsia="zh-CN"/>
        </w:rPr>
        <w:t>第六条</w:t>
      </w:r>
      <w:r>
        <w:rPr>
          <w:rFonts w:hint="eastAsia" w:ascii="方正仿宋_GBK" w:hAnsi="方正仿宋_GBK" w:eastAsia="方正仿宋_GBK" w:cs="方正仿宋_GBK"/>
          <w:color w:val="auto"/>
          <w:sz w:val="32"/>
          <w:szCs w:val="32"/>
          <w:highlight w:val="none"/>
          <w:lang w:val="en-US" w:eastAsia="zh-CN"/>
        </w:rPr>
        <w:t xml:space="preserve"> </w:t>
      </w:r>
      <w:r>
        <w:rPr>
          <w:rFonts w:hint="default" w:ascii="方正仿宋_GBK" w:hAnsi="方正仿宋_GBK" w:eastAsia="方正仿宋_GBK" w:cs="方正仿宋_GBK"/>
          <w:color w:val="auto"/>
          <w:sz w:val="32"/>
          <w:szCs w:val="32"/>
          <w:highlight w:val="none"/>
          <w:lang w:val="en-US" w:eastAsia="zh-CN"/>
        </w:rPr>
        <w:t>对商业一类企业，以增强国有经济活力、放大国有资本功能、实现国有资本保值增值为导向，重点考核企业经济效益、资本回报水平和市场竞争能力。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default" w:ascii="方正仿宋_GBK" w:hAnsi="方正仿宋_GBK" w:eastAsia="方正仿宋_GBK" w:cs="方正仿宋_GBK"/>
          <w:b/>
          <w:bCs/>
          <w:color w:val="auto"/>
          <w:sz w:val="32"/>
          <w:szCs w:val="32"/>
          <w:highlight w:val="none"/>
          <w:lang w:val="en-US" w:eastAsia="zh-CN"/>
        </w:rPr>
        <w:t>第七条</w:t>
      </w:r>
      <w:r>
        <w:rPr>
          <w:rFonts w:hint="eastAsia" w:ascii="方正仿宋_GBK" w:hAnsi="方正仿宋_GBK" w:eastAsia="方正仿宋_GBK" w:cs="方正仿宋_GBK"/>
          <w:color w:val="auto"/>
          <w:sz w:val="32"/>
          <w:szCs w:val="32"/>
          <w:highlight w:val="none"/>
          <w:lang w:val="en-US" w:eastAsia="zh-CN"/>
        </w:rPr>
        <w:t xml:space="preserve"> </w:t>
      </w:r>
      <w:r>
        <w:rPr>
          <w:rFonts w:hint="default" w:ascii="方正仿宋_GBK" w:hAnsi="方正仿宋_GBK" w:eastAsia="方正仿宋_GBK" w:cs="方正仿宋_GBK"/>
          <w:color w:val="auto"/>
          <w:sz w:val="32"/>
          <w:szCs w:val="32"/>
          <w:highlight w:val="none"/>
          <w:lang w:val="en-US" w:eastAsia="zh-CN"/>
        </w:rPr>
        <w:t>对商业二类企业，在考核企业经济效益、资本回报水平和市场竞争能力的同时，加强对所承担的特定功能性任务完成情况考核评价，适度降低经济效益指标考核权重。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default" w:ascii="方正仿宋_GBK" w:hAnsi="方正仿宋_GBK" w:eastAsia="方正仿宋_GBK" w:cs="方正仿宋_GBK"/>
          <w:b/>
          <w:bCs/>
          <w:color w:val="auto"/>
          <w:sz w:val="32"/>
          <w:szCs w:val="32"/>
          <w:highlight w:val="none"/>
          <w:lang w:val="en-US" w:eastAsia="zh-CN"/>
        </w:rPr>
        <w:t>第八条</w:t>
      </w:r>
      <w:r>
        <w:rPr>
          <w:rFonts w:hint="eastAsia" w:ascii="方正仿宋_GBK" w:hAnsi="方正仿宋_GBK" w:eastAsia="方正仿宋_GBK" w:cs="方正仿宋_GBK"/>
          <w:color w:val="auto"/>
          <w:sz w:val="32"/>
          <w:szCs w:val="32"/>
          <w:highlight w:val="none"/>
          <w:lang w:val="en-US" w:eastAsia="zh-CN"/>
        </w:rPr>
        <w:t xml:space="preserve"> </w:t>
      </w:r>
      <w:r>
        <w:rPr>
          <w:rFonts w:hint="default" w:ascii="方正仿宋_GBK" w:hAnsi="方正仿宋_GBK" w:eastAsia="方正仿宋_GBK" w:cs="方正仿宋_GBK"/>
          <w:color w:val="auto"/>
          <w:sz w:val="32"/>
          <w:szCs w:val="32"/>
          <w:highlight w:val="none"/>
          <w:lang w:val="en-US" w:eastAsia="zh-CN"/>
        </w:rPr>
        <w:t>对公益类企业，坚持经济效益和社会效益相结合，把社会效益放在首位，重点考核企业核心业务发展水平和产品服务质量、成本控制、营运效率和保障能力</w:t>
      </w:r>
      <w:r>
        <w:rPr>
          <w:rFonts w:hint="eastAsia" w:ascii="方正仿宋_GBK" w:hAnsi="方正仿宋_GBK" w:eastAsia="方正仿宋_GBK" w:cs="方正仿宋_GBK"/>
          <w:color w:val="auto"/>
          <w:sz w:val="32"/>
          <w:szCs w:val="32"/>
          <w:highlight w:val="none"/>
          <w:lang w:val="en-US" w:eastAsia="zh-CN"/>
        </w:rPr>
        <w:t>，</w:t>
      </w:r>
      <w:r>
        <w:rPr>
          <w:rFonts w:hint="default" w:ascii="方正仿宋_GBK" w:hAnsi="方正仿宋_GBK" w:eastAsia="方正仿宋_GBK" w:cs="方正仿宋_GBK"/>
          <w:color w:val="auto"/>
          <w:sz w:val="32"/>
          <w:szCs w:val="32"/>
          <w:highlight w:val="none"/>
          <w:lang w:val="en-US" w:eastAsia="zh-CN"/>
        </w:rPr>
        <w:t>适度降低经济效益指标考核权重。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p>
    <w:p>
      <w:pPr>
        <w:pStyle w:val="12"/>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540" w:lineRule="exact"/>
        <w:ind w:left="0" w:right="0" w:firstLine="0"/>
        <w:jc w:val="center"/>
        <w:textAlignment w:val="auto"/>
        <w:rPr>
          <w:rFonts w:hint="default" w:ascii="黑体" w:hAnsi="黑体" w:eastAsia="黑体" w:cs="黑体"/>
          <w:color w:val="auto"/>
          <w:spacing w:val="0"/>
          <w:w w:val="100"/>
          <w:position w:val="0"/>
          <w:sz w:val="22"/>
          <w:szCs w:val="22"/>
          <w:highlight w:val="none"/>
          <w:lang w:val="en-US" w:eastAsia="zh-CN"/>
        </w:rPr>
      </w:pPr>
      <w:r>
        <w:rPr>
          <w:rFonts w:hint="default" w:ascii="黑体" w:hAnsi="黑体" w:eastAsia="黑体" w:cs="黑体"/>
          <w:color w:val="auto"/>
          <w:spacing w:val="0"/>
          <w:w w:val="100"/>
          <w:position w:val="0"/>
          <w:sz w:val="32"/>
          <w:szCs w:val="32"/>
          <w:highlight w:val="none"/>
          <w:lang w:val="en-US" w:eastAsia="zh-CN"/>
        </w:rPr>
        <w:t>第三章</w:t>
      </w:r>
      <w:r>
        <w:rPr>
          <w:rFonts w:hint="eastAsia" w:ascii="黑体" w:hAnsi="黑体" w:eastAsia="黑体" w:cs="黑体"/>
          <w:color w:val="auto"/>
          <w:spacing w:val="0"/>
          <w:w w:val="100"/>
          <w:position w:val="0"/>
          <w:sz w:val="32"/>
          <w:szCs w:val="32"/>
          <w:highlight w:val="none"/>
          <w:lang w:val="en-US" w:eastAsia="zh-CN"/>
        </w:rPr>
        <w:t xml:space="preserve"> </w:t>
      </w:r>
      <w:r>
        <w:rPr>
          <w:rFonts w:hint="default" w:ascii="黑体" w:hAnsi="黑体" w:eastAsia="黑体" w:cs="黑体"/>
          <w:color w:val="auto"/>
          <w:spacing w:val="0"/>
          <w:w w:val="100"/>
          <w:position w:val="0"/>
          <w:sz w:val="32"/>
          <w:szCs w:val="32"/>
          <w:highlight w:val="none"/>
          <w:lang w:val="en-US" w:eastAsia="zh-CN"/>
        </w:rPr>
        <w:t>年度（任期）经营业绩考核</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第九条</w:t>
      </w:r>
      <w:r>
        <w:rPr>
          <w:rFonts w:hint="eastAsia" w:ascii="Times New Roman" w:hAnsi="Times New Roman" w:eastAsia="方正仿宋_GBK" w:cs="Times New Roman"/>
          <w:color w:val="auto"/>
          <w:sz w:val="32"/>
          <w:szCs w:val="32"/>
          <w:highlight w:val="none"/>
          <w:lang w:val="en-US" w:eastAsia="zh-CN"/>
        </w:rPr>
        <w:t xml:space="preserve"> 区</w:t>
      </w:r>
      <w:r>
        <w:rPr>
          <w:rFonts w:hint="default" w:ascii="Times New Roman" w:hAnsi="Times New Roman" w:eastAsia="方正仿宋_GBK" w:cs="Times New Roman"/>
          <w:color w:val="auto"/>
          <w:sz w:val="32"/>
          <w:szCs w:val="32"/>
          <w:highlight w:val="none"/>
          <w:lang w:val="en-US" w:eastAsia="zh-CN"/>
        </w:rPr>
        <w:t>属企业年度经营业绩考核以公历年度为考核期，任期经营业绩考核以3年为考核期。经营业绩考核采取由履行出资人职责部门与</w:t>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属企业负责人签订经营业绩责任书或者其他方式进行。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第十条</w:t>
      </w:r>
      <w:r>
        <w:rPr>
          <w:rFonts w:hint="eastAsia"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年度经营业绩考核指标由质量效益指标、短板指标改善评价、非经济指标（安全生产、信访维稳等）、重大专项考核和社会效益评价5部分组成，考核分值100分。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针对不同类别企业</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一企一策</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，实行差异化考核，具体指标、权重和计分细则由履行出资人职责部门或其他监管部门报</w:t>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人民政府同意后在经营业绩考核责任书中确定。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（一）</w:t>
      </w:r>
      <w:r>
        <w:rPr>
          <w:rFonts w:hint="default" w:ascii="Times New Roman" w:hAnsi="Times New Roman" w:eastAsia="方正仿宋_GBK" w:cs="Times New Roman"/>
          <w:color w:val="auto"/>
          <w:sz w:val="32"/>
          <w:szCs w:val="32"/>
          <w:highlight w:val="none"/>
          <w:lang w:val="en-US" w:eastAsia="zh-CN"/>
        </w:rPr>
        <w:t>质量效益指标原则上考核利润总额、国有资本保值增值率、现金流量利息保障倍数3项指标（适用于商业一类、商业二类和公益类企业，可根据企业特点或监管要求增加1</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2个特色效益指标）</w:t>
      </w:r>
      <w:r>
        <w:rPr>
          <w:rFonts w:hint="eastAsia"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利润总额指以</w:t>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属企业合并会计报表利润表中的利润总额为基础，加上经考核认定的视同利润部分的总和，基础数据取值于合并《利润表》。本指标考核目标确定原则上按照前3年实际完成值的加权平均值计算确定，前3年权重由远及近分别为10%、30%、60%；考核目标为负值的，确定减亏目标或者综合核定利润总额目标。</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年度国有资本保值增值率是指企业经营期内扣除客观增减因素后期末国有资本与期初国有资本的比例。本指标考核目标原则上以100%为基数确定。数据取值于年度企业国有资产统计报表《主要分析指标表》，考核经营期内企业负责人对国有资本的经营积累贡献程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计算公式：年度国有资本保值增值率=（扣除客观因素影响后的年末国有资本/年初国有资本）</w:t>
      </w:r>
      <w:r>
        <w:rPr>
          <w:rFonts w:hint="default" w:ascii="Arial" w:hAnsi="Arial" w:eastAsia="方正仿宋_GBK" w:cs="Arial"/>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100%</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现金流量利息保障倍数是指经营现金净流量与利息费用的比值。现金流量利息保障倍数是以现金流量表为基础计算，</w:t>
      </w:r>
      <w:r>
        <w:rPr>
          <w:rFonts w:hint="eastAsia" w:eastAsia="方正仿宋_GBK" w:cs="Times New Roman"/>
          <w:color w:val="auto"/>
          <w:sz w:val="32"/>
          <w:szCs w:val="32"/>
          <w:highlight w:val="none"/>
          <w:lang w:val="en-US" w:eastAsia="zh-CN"/>
        </w:rPr>
        <w:t>旨</w:t>
      </w:r>
      <w:r>
        <w:rPr>
          <w:rFonts w:hint="default" w:ascii="Times New Roman" w:hAnsi="Times New Roman" w:eastAsia="方正仿宋_GBK" w:cs="Times New Roman"/>
          <w:color w:val="auto"/>
          <w:sz w:val="32"/>
          <w:szCs w:val="32"/>
          <w:highlight w:val="none"/>
          <w:lang w:val="en-US" w:eastAsia="zh-CN"/>
        </w:rPr>
        <w:t>在考核用现金支付利息的能力。数据取值于合并《现金流量表》和《利润表》。商业一类企业本指标考核目标原则上按照大于等于2确定，商业二类、公益类企业本指标考核目标原则上按照大于等于1确定。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计算公式：现金流量利息保障倍数=经营现金净流量/利息费用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上述指标按照</w:t>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属企业合并报表口径计算。因行政划拨、政策调整等非市场化因素导致企业资产、损益发生重大变化的，据实调整；因科技研发等创新投入、处理历史遗留问题、员工培训及主管部门认定的可视同利润的支出，影响当期效益的，可视同当期利润总额。</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（二）短板指标改善评价（适用于商业一类、商业二类和公益类企业，考核分值占比20%）</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可结合</w:t>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属企业的短板</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一企一策</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确定</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净资产收益率、劳动生产率、人工成本利润率、营业收入增长率</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等</w:t>
      </w:r>
      <w:r>
        <w:rPr>
          <w:rFonts w:hint="eastAsia" w:eastAsia="方正仿宋_GBK" w:cs="Times New Roman"/>
          <w:color w:val="auto"/>
          <w:sz w:val="32"/>
          <w:szCs w:val="32"/>
          <w:highlight w:val="none"/>
          <w:lang w:val="en-US" w:eastAsia="zh-CN"/>
        </w:rPr>
        <w:t>1—3</w:t>
      </w:r>
      <w:r>
        <w:rPr>
          <w:rFonts w:hint="default" w:ascii="Times New Roman" w:hAnsi="Times New Roman" w:eastAsia="方正仿宋_GBK" w:cs="Times New Roman"/>
          <w:color w:val="auto"/>
          <w:sz w:val="32"/>
          <w:szCs w:val="32"/>
          <w:highlight w:val="none"/>
          <w:lang w:val="en-US" w:eastAsia="zh-CN"/>
        </w:rPr>
        <w:t>项短板指标。短板指标改善评分以上年度完成值为基准值，按照较上年度改善的程度计分，具体指标、权重和计分细则在责任书中明确。如在年度经营业绩考核责任书中未确定短板指标改善评价指标，则对应分值计入质量效益指标考核。</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（三）</w:t>
      </w:r>
      <w:r>
        <w:rPr>
          <w:rFonts w:hint="default" w:ascii="Times New Roman" w:hAnsi="Times New Roman" w:eastAsia="方正仿宋_GBK" w:cs="Times New Roman"/>
          <w:color w:val="auto"/>
          <w:sz w:val="32"/>
          <w:szCs w:val="32"/>
          <w:highlight w:val="none"/>
          <w:lang w:val="en-US" w:eastAsia="zh-CN"/>
        </w:rPr>
        <w:tab/>
      </w:r>
      <w:r>
        <w:rPr>
          <w:rFonts w:hint="default" w:ascii="Times New Roman" w:hAnsi="Times New Roman" w:eastAsia="方正仿宋_GBK" w:cs="Times New Roman"/>
          <w:color w:val="auto"/>
          <w:sz w:val="32"/>
          <w:szCs w:val="32"/>
          <w:highlight w:val="none"/>
          <w:lang w:val="en-US" w:eastAsia="zh-CN"/>
        </w:rPr>
        <w:t>非经济指标考核评价（适用于商业一类、商业二类和公益类企业，考核分值占比10%）</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可根据工作需要考核安全生产、综治维稳指标，具体指标、权重和计分细则在责任书中明确；如在年度经营业绩考核责任书中未确定非经济指标考核评价指标，则对应分值计入质量效益指标考核。</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（四）</w:t>
      </w:r>
      <w:r>
        <w:rPr>
          <w:rFonts w:hint="default" w:ascii="Times New Roman" w:hAnsi="Times New Roman" w:eastAsia="方正仿宋_GBK" w:cs="Times New Roman"/>
          <w:color w:val="auto"/>
          <w:sz w:val="32"/>
          <w:szCs w:val="32"/>
          <w:highlight w:val="none"/>
          <w:lang w:val="en-US" w:eastAsia="zh-CN"/>
        </w:rPr>
        <w:tab/>
      </w:r>
      <w:r>
        <w:rPr>
          <w:rFonts w:hint="default" w:ascii="Times New Roman" w:hAnsi="Times New Roman" w:eastAsia="方正仿宋_GBK" w:cs="Times New Roman"/>
          <w:color w:val="auto"/>
          <w:sz w:val="32"/>
          <w:szCs w:val="32"/>
          <w:highlight w:val="none"/>
          <w:lang w:val="en-US" w:eastAsia="zh-CN"/>
        </w:rPr>
        <w:t>重大专项指标考核评价（适用于商业二类企业，考核分值占比10%—20%）。可根据商业二类企业承担</w:t>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委、</w:t>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政府重点项目建设需要考核融资、投资目标，具体指标、权重和计分细则在责任书中明确。如在年度经营业绩考核责任书中未确定重大专项考核评价指标，则对应分值计入质量效益指标考核。</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（五）</w:t>
      </w:r>
      <w:r>
        <w:rPr>
          <w:rFonts w:hint="default" w:ascii="Times New Roman" w:hAnsi="Times New Roman" w:eastAsia="方正仿宋_GBK" w:cs="Times New Roman"/>
          <w:color w:val="auto"/>
          <w:sz w:val="32"/>
          <w:szCs w:val="32"/>
          <w:highlight w:val="none"/>
          <w:lang w:val="en-US" w:eastAsia="zh-CN"/>
        </w:rPr>
        <w:tab/>
      </w:r>
      <w:r>
        <w:rPr>
          <w:rFonts w:hint="default" w:ascii="Times New Roman" w:hAnsi="Times New Roman" w:eastAsia="方正仿宋_GBK" w:cs="Times New Roman"/>
          <w:color w:val="auto"/>
          <w:sz w:val="32"/>
          <w:szCs w:val="32"/>
          <w:highlight w:val="none"/>
          <w:lang w:val="en-US" w:eastAsia="zh-CN"/>
        </w:rPr>
        <w:t>社会效益指标评价（适用于公益类企业，考核分值占比20%）。根据公益类企业具体情况</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一企一策</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确定增加主营业务增长率、成本费用控制、社会满意度等1</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3个指标，具体指标、权重和计分细则在责任书中明确。如在年度经营业绩考核责任书中未确定社会效益评价指标，则对应分值计入质量效益指标考核。</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第十一条</w:t>
      </w:r>
      <w:r>
        <w:rPr>
          <w:rFonts w:hint="eastAsia"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任期经营业绩考核指标由质量效益指标和任期内年度考核结果运用2部分构成。</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（一）质量效益指标。质量效益指标原则上考核国有资本收益、国有资本保值增值率、资产负债率3项指标（适用于商业一类、商业二类和公益类企业，可根据需要增加1</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2个特色效益指标），严重亏损（非经营性亏损）企业可不考核国有资本收益指标。</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国有资本收益指本任期内</w:t>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属企业上缴</w:t>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级财政国有资本收益目标金额。旨在考核</w:t>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属企业在任期内对</w:t>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级财政的贡献程度，原则上用</w:t>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属企业董事会确定利润总额目标数为基数计算确定。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任期国有资本保值增值率指任期内3个年度的国有资本保值增值率的算术平均值。用任期内每年末归属于国家所有者权益扣除年内发生的客观增减因素后的余额除以年初归属于国家所有者权益。数据取值于任期每年的《所有者权益变动表》和《国有资产变动情况表》及国有资本保值增值鉴证说明材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任期国有资本保值增值率=3个年度国有资本保值增值率之和/3</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资产负债率是指任期末</w:t>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属企业负债总额除以资产总额，数据取值于</w:t>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属企业合并会计报表《资产负债表》。</w:t>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属企业资产负债率处于警戒线（70%）以下的，资产负债率考核目标确定根据企业发展战略在资产负债率警戒线（70%）以下确定，合理管控企业资产负债水平；</w:t>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属企业资产负债率处于警戒线（70%）以上的，资产负债率考核目标原则上以</w:t>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属企业近3年的资产负债率最低值为基数降低确定。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任期资产负债率=（任期末负债总额/任期末资产总额）</w:t>
      </w:r>
      <w:r>
        <w:rPr>
          <w:rFonts w:hint="default" w:ascii="Arial" w:hAnsi="Arial" w:eastAsia="方正仿宋_GBK" w:cs="Arial"/>
          <w:color w:val="auto"/>
          <w:sz w:val="32"/>
          <w:szCs w:val="32"/>
          <w:highlight w:val="none"/>
          <w:lang w:val="en-US" w:eastAsia="zh-CN"/>
        </w:rPr>
        <w:t>×</w:t>
      </w:r>
      <w:r>
        <w:rPr>
          <w:rFonts w:hint="eastAsia" w:eastAsia="方正仿宋_GBK" w:cs="Times New Roman"/>
          <w:color w:val="auto"/>
          <w:sz w:val="32"/>
          <w:szCs w:val="32"/>
          <w:highlight w:val="none"/>
          <w:lang w:val="en-US" w:eastAsia="zh-CN"/>
        </w:rPr>
        <w:t>100%</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（二）任期内年度考核结果运用。以任期内3个年度经营业绩考核结果的算术平均值为基础，按照30%权重计算得分。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第四章 经营业绩考核实施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第十二条</w:t>
      </w:r>
      <w:r>
        <w:rPr>
          <w:rFonts w:hint="eastAsia"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年度（任期）经营业绩责任书内容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w:t>
      </w:r>
      <w:r>
        <w:rPr>
          <w:rFonts w:hint="default" w:ascii="Times New Roman" w:hAnsi="Times New Roman" w:eastAsia="方正仿宋_GBK" w:cs="Times New Roman"/>
          <w:color w:val="auto"/>
          <w:sz w:val="32"/>
          <w:szCs w:val="32"/>
          <w:highlight w:val="none"/>
          <w:lang w:val="en-US" w:eastAsia="zh-CN"/>
        </w:rPr>
        <w:tab/>
      </w:r>
      <w:r>
        <w:rPr>
          <w:rFonts w:hint="default" w:ascii="Times New Roman" w:hAnsi="Times New Roman" w:eastAsia="方正仿宋_GBK" w:cs="Times New Roman"/>
          <w:color w:val="auto"/>
          <w:sz w:val="32"/>
          <w:szCs w:val="32"/>
          <w:highlight w:val="none"/>
          <w:lang w:val="en-US" w:eastAsia="zh-CN"/>
        </w:rPr>
        <w:t>考核与被考核方的名称或姓名；</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w:t>
      </w:r>
      <w:r>
        <w:rPr>
          <w:rFonts w:hint="default" w:ascii="Times New Roman" w:hAnsi="Times New Roman" w:eastAsia="方正仿宋_GBK" w:cs="Times New Roman"/>
          <w:color w:val="auto"/>
          <w:sz w:val="32"/>
          <w:szCs w:val="32"/>
          <w:highlight w:val="none"/>
          <w:lang w:val="en-US" w:eastAsia="zh-CN"/>
        </w:rPr>
        <w:tab/>
      </w:r>
      <w:r>
        <w:rPr>
          <w:rFonts w:hint="default" w:ascii="Times New Roman" w:hAnsi="Times New Roman" w:eastAsia="方正仿宋_GBK" w:cs="Times New Roman"/>
          <w:color w:val="auto"/>
          <w:sz w:val="32"/>
          <w:szCs w:val="32"/>
          <w:highlight w:val="none"/>
          <w:lang w:val="en-US" w:eastAsia="zh-CN"/>
        </w:rPr>
        <w:t>考核内容及指标；</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（三）</w:t>
      </w:r>
      <w:r>
        <w:rPr>
          <w:rFonts w:hint="default" w:ascii="Times New Roman" w:hAnsi="Times New Roman" w:eastAsia="方正仿宋_GBK" w:cs="Times New Roman"/>
          <w:color w:val="auto"/>
          <w:sz w:val="32"/>
          <w:szCs w:val="32"/>
          <w:highlight w:val="none"/>
          <w:lang w:val="en-US" w:eastAsia="zh-CN"/>
        </w:rPr>
        <w:tab/>
      </w:r>
      <w:r>
        <w:rPr>
          <w:rFonts w:hint="default" w:ascii="Times New Roman" w:hAnsi="Times New Roman" w:eastAsia="方正仿宋_GBK" w:cs="Times New Roman"/>
          <w:color w:val="auto"/>
          <w:sz w:val="32"/>
          <w:szCs w:val="32"/>
          <w:highlight w:val="none"/>
          <w:lang w:val="en-US" w:eastAsia="zh-CN"/>
        </w:rPr>
        <w:t>考核与奖惩；</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（四）</w:t>
      </w:r>
      <w:r>
        <w:rPr>
          <w:rFonts w:hint="default" w:ascii="Times New Roman" w:hAnsi="Times New Roman" w:eastAsia="方正仿宋_GBK" w:cs="Times New Roman"/>
          <w:color w:val="auto"/>
          <w:sz w:val="32"/>
          <w:szCs w:val="32"/>
          <w:highlight w:val="none"/>
          <w:lang w:val="en-US" w:eastAsia="zh-CN"/>
        </w:rPr>
        <w:tab/>
      </w:r>
      <w:r>
        <w:rPr>
          <w:rFonts w:hint="default" w:ascii="Times New Roman" w:hAnsi="Times New Roman" w:eastAsia="方正仿宋_GBK" w:cs="Times New Roman"/>
          <w:color w:val="auto"/>
          <w:sz w:val="32"/>
          <w:szCs w:val="32"/>
          <w:highlight w:val="none"/>
          <w:lang w:val="en-US" w:eastAsia="zh-CN"/>
        </w:rPr>
        <w:t>双方的权利和责任；</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（五）</w:t>
      </w:r>
      <w:r>
        <w:rPr>
          <w:rFonts w:hint="default" w:ascii="Times New Roman" w:hAnsi="Times New Roman" w:eastAsia="方正仿宋_GBK" w:cs="Times New Roman"/>
          <w:color w:val="auto"/>
          <w:sz w:val="32"/>
          <w:szCs w:val="32"/>
          <w:highlight w:val="none"/>
          <w:lang w:val="en-US" w:eastAsia="zh-CN"/>
        </w:rPr>
        <w:tab/>
      </w:r>
      <w:r>
        <w:rPr>
          <w:rFonts w:hint="default" w:ascii="Times New Roman" w:hAnsi="Times New Roman" w:eastAsia="方正仿宋_GBK" w:cs="Times New Roman"/>
          <w:color w:val="auto"/>
          <w:sz w:val="32"/>
          <w:szCs w:val="32"/>
          <w:highlight w:val="none"/>
          <w:lang w:val="en-US" w:eastAsia="zh-CN"/>
        </w:rPr>
        <w:t>责任书的变更、解除和终止；</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（六）</w:t>
      </w:r>
      <w:r>
        <w:rPr>
          <w:rFonts w:hint="default" w:ascii="Times New Roman" w:hAnsi="Times New Roman" w:eastAsia="方正仿宋_GBK" w:cs="Times New Roman"/>
          <w:color w:val="auto"/>
          <w:sz w:val="32"/>
          <w:szCs w:val="32"/>
          <w:highlight w:val="none"/>
          <w:lang w:val="en-US" w:eastAsia="zh-CN"/>
        </w:rPr>
        <w:tab/>
      </w:r>
      <w:r>
        <w:rPr>
          <w:rFonts w:hint="default" w:ascii="Times New Roman" w:hAnsi="Times New Roman" w:eastAsia="方正仿宋_GBK" w:cs="Times New Roman"/>
          <w:color w:val="auto"/>
          <w:sz w:val="32"/>
          <w:szCs w:val="32"/>
          <w:highlight w:val="none"/>
          <w:lang w:val="en-US" w:eastAsia="zh-CN"/>
        </w:rPr>
        <w:t>其他需要约定的事项。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第十三条</w:t>
      </w:r>
      <w:r>
        <w:rPr>
          <w:rFonts w:hint="eastAsia"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经营业绩考核责任书内容按下列程序签订：</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w:t>
      </w:r>
      <w:r>
        <w:rPr>
          <w:rFonts w:hint="default" w:ascii="Times New Roman" w:hAnsi="Times New Roman" w:eastAsia="方正仿宋_GBK" w:cs="Times New Roman"/>
          <w:color w:val="auto"/>
          <w:sz w:val="32"/>
          <w:szCs w:val="32"/>
          <w:highlight w:val="none"/>
          <w:lang w:val="en-US" w:eastAsia="zh-CN"/>
        </w:rPr>
        <w:tab/>
      </w:r>
      <w:r>
        <w:rPr>
          <w:rFonts w:hint="default" w:ascii="Times New Roman" w:hAnsi="Times New Roman" w:eastAsia="方正仿宋_GBK" w:cs="Times New Roman"/>
          <w:color w:val="auto"/>
          <w:sz w:val="32"/>
          <w:szCs w:val="32"/>
          <w:highlight w:val="none"/>
          <w:lang w:val="en-US" w:eastAsia="zh-CN"/>
        </w:rPr>
        <w:t>考核期初，企业按照经营业绩考核要求，将考核期内目标建议值和必要的说明材料经相应组织程序报履行出资人职责部门。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w:t>
      </w:r>
      <w:r>
        <w:rPr>
          <w:rFonts w:hint="default" w:ascii="Times New Roman" w:hAnsi="Times New Roman" w:eastAsia="方正仿宋_GBK" w:cs="Times New Roman"/>
          <w:color w:val="auto"/>
          <w:sz w:val="32"/>
          <w:szCs w:val="32"/>
          <w:highlight w:val="none"/>
          <w:lang w:val="en-US" w:eastAsia="zh-CN"/>
        </w:rPr>
        <w:tab/>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履行出资人职责部门对考核目标建议值进行审核，并就考核目标值及有关内容同企业沟通后予以确定。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（三）</w:t>
      </w:r>
      <w:r>
        <w:rPr>
          <w:rFonts w:hint="default" w:ascii="Times New Roman" w:hAnsi="Times New Roman" w:eastAsia="方正仿宋_GBK" w:cs="Times New Roman"/>
          <w:color w:val="auto"/>
          <w:sz w:val="32"/>
          <w:szCs w:val="32"/>
          <w:highlight w:val="none"/>
          <w:lang w:val="en-US" w:eastAsia="zh-CN"/>
        </w:rPr>
        <w:tab/>
      </w:r>
      <w:r>
        <w:rPr>
          <w:rFonts w:hint="default" w:ascii="Times New Roman" w:hAnsi="Times New Roman" w:eastAsia="方正仿宋_GBK" w:cs="Times New Roman"/>
          <w:color w:val="auto"/>
          <w:sz w:val="32"/>
          <w:szCs w:val="32"/>
          <w:highlight w:val="none"/>
          <w:lang w:val="en-US" w:eastAsia="zh-CN"/>
        </w:rPr>
        <w:t>由</w:t>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履行出资人职责部门主要负责人或者其授权代表同企业主要负责人签订经营业绩责任书。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第十四条</w:t>
      </w:r>
      <w:r>
        <w:rPr>
          <w:rFonts w:hint="eastAsia"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建立动态监测预警及重大事项报告制度。考核期中，履行出资人职责部门对年度经营业绩目标任务执行情况实施动态监控，对考核目标完成进度不理想的企业提出预警。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属企业发生较大及以上生产安全事故、重大及以上突发环境事件、重大及以上质量事故、重大资产损失、重大法律纠纷案件、重大投融资和资产重组等重大事项，对经营业绩产生重大影响的，应及时向履行出资人职责部门报告。</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第十五条</w:t>
      </w:r>
      <w:r>
        <w:rPr>
          <w:rFonts w:hint="eastAsia"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经营业绩考核按照下列程序进行：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w:t>
      </w:r>
      <w:r>
        <w:rPr>
          <w:rFonts w:hint="default" w:ascii="Times New Roman" w:hAnsi="Times New Roman" w:eastAsia="方正仿宋_GBK" w:cs="Times New Roman"/>
          <w:color w:val="auto"/>
          <w:sz w:val="32"/>
          <w:szCs w:val="32"/>
          <w:highlight w:val="none"/>
          <w:lang w:val="en-US" w:eastAsia="zh-CN"/>
        </w:rPr>
        <w:tab/>
      </w:r>
      <w:r>
        <w:rPr>
          <w:rFonts w:hint="default" w:ascii="Times New Roman" w:hAnsi="Times New Roman" w:eastAsia="方正仿宋_GBK" w:cs="Times New Roman"/>
          <w:color w:val="auto"/>
          <w:sz w:val="32"/>
          <w:szCs w:val="32"/>
          <w:highlight w:val="none"/>
          <w:lang w:val="en-US" w:eastAsia="zh-CN"/>
        </w:rPr>
        <w:t>报送考核总结材料。考核期末，企业对照年度目标经营业绩责任书和依据经审计的财务决算数据，形成经营业绩总结分析报告，经内部决策程序后报履行出资人职责部门。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w:t>
      </w:r>
      <w:r>
        <w:rPr>
          <w:rFonts w:hint="default" w:ascii="Times New Roman" w:hAnsi="Times New Roman" w:eastAsia="方正仿宋_GBK" w:cs="Times New Roman"/>
          <w:color w:val="auto"/>
          <w:sz w:val="32"/>
          <w:szCs w:val="32"/>
          <w:highlight w:val="none"/>
          <w:lang w:val="en-US" w:eastAsia="zh-CN"/>
        </w:rPr>
        <w:tab/>
      </w:r>
      <w:r>
        <w:rPr>
          <w:rFonts w:hint="default" w:ascii="Times New Roman" w:hAnsi="Times New Roman" w:eastAsia="方正仿宋_GBK" w:cs="Times New Roman"/>
          <w:color w:val="auto"/>
          <w:sz w:val="32"/>
          <w:szCs w:val="32"/>
          <w:highlight w:val="none"/>
          <w:lang w:val="en-US" w:eastAsia="zh-CN"/>
        </w:rPr>
        <w:t>业绩审核形成意见。履行出资人职责部门依据经审计的企业财务决算报告和专项报告，结合经营业绩总结分析报告及年中动态监控掌握情况，对企业经营业绩考核目标的完成情况进行考核，形成考核与奖惩意见。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（三）</w:t>
      </w:r>
      <w:r>
        <w:rPr>
          <w:rFonts w:hint="default" w:ascii="Times New Roman" w:hAnsi="Times New Roman" w:eastAsia="方正仿宋_GBK" w:cs="Times New Roman"/>
          <w:color w:val="auto"/>
          <w:sz w:val="32"/>
          <w:szCs w:val="32"/>
          <w:highlight w:val="none"/>
          <w:lang w:val="en-US" w:eastAsia="zh-CN"/>
        </w:rPr>
        <w:tab/>
      </w:r>
      <w:r>
        <w:rPr>
          <w:rFonts w:hint="default" w:ascii="Times New Roman" w:hAnsi="Times New Roman" w:eastAsia="方正仿宋_GBK" w:cs="Times New Roman"/>
          <w:color w:val="auto"/>
          <w:sz w:val="32"/>
          <w:szCs w:val="32"/>
          <w:highlight w:val="none"/>
          <w:lang w:val="en-US" w:eastAsia="zh-CN"/>
        </w:rPr>
        <w:t>考核意见征求反馈。履行出资人职责部门将年度经营业绩考核意见反馈</w:t>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属企业。对考核评价意见有异议的，可向履行出资人职责部门反映。</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（四）</w:t>
      </w:r>
      <w:r>
        <w:rPr>
          <w:rFonts w:hint="default" w:ascii="Times New Roman" w:hAnsi="Times New Roman" w:eastAsia="方正仿宋_GBK" w:cs="Times New Roman"/>
          <w:color w:val="auto"/>
          <w:sz w:val="32"/>
          <w:szCs w:val="32"/>
          <w:highlight w:val="none"/>
          <w:lang w:val="en-US" w:eastAsia="zh-CN"/>
        </w:rPr>
        <w:tab/>
      </w:r>
      <w:r>
        <w:rPr>
          <w:rFonts w:hint="default" w:ascii="Times New Roman" w:hAnsi="Times New Roman" w:eastAsia="方正仿宋_GBK" w:cs="Times New Roman"/>
          <w:color w:val="auto"/>
          <w:sz w:val="32"/>
          <w:szCs w:val="32"/>
          <w:highlight w:val="none"/>
          <w:lang w:val="en-US" w:eastAsia="zh-CN"/>
        </w:rPr>
        <w:t>确定下达考核结果。履行出资人职责部门向企业下达经营业绩考核结果。</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第十六条</w:t>
      </w:r>
      <w:r>
        <w:rPr>
          <w:rFonts w:hint="eastAsia"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对获得</w:t>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级及以上党委、政府表彰、企业社会贡献突出、完成节能减排目标等事项的，应在年度经营业绩考核中给予适当的加分奖励。</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属企业发生较大及以上生产安全责任事故、重大及以上生态环境事件、财务造假、违法违纪、综治维稳责任事件，严重影响企业生产生活秩序或造成社会负面影响的，应对企业年度考核进行扣分或直接降低考核级别，并按照程序、视具体情况追究责任。</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center"/>
        <w:textAlignment w:val="auto"/>
        <w:rPr>
          <w:rFonts w:hint="default" w:ascii="Times New Roman" w:hAnsi="Times New Roman" w:eastAsia="方正仿宋_GBK" w:cs="Times New Roman"/>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第五章 考核结果运用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第十七条</w:t>
      </w:r>
      <w:r>
        <w:rPr>
          <w:rFonts w:hint="eastAsia" w:eastAsia="方正仿宋_GBK" w:cs="Times New Roman"/>
          <w:color w:val="auto"/>
          <w:sz w:val="32"/>
          <w:szCs w:val="32"/>
          <w:highlight w:val="none"/>
          <w:lang w:val="en-US" w:eastAsia="zh-CN"/>
        </w:rPr>
        <w:t xml:space="preserve"> 区</w:t>
      </w:r>
      <w:r>
        <w:rPr>
          <w:rFonts w:hint="default" w:ascii="Times New Roman" w:hAnsi="Times New Roman" w:eastAsia="方正仿宋_GBK" w:cs="Times New Roman"/>
          <w:color w:val="auto"/>
          <w:sz w:val="32"/>
          <w:szCs w:val="32"/>
          <w:highlight w:val="none"/>
          <w:lang w:val="en-US" w:eastAsia="zh-CN"/>
        </w:rPr>
        <w:t>属企业年度经营业绩考核不单列考核党建工作指标，履行出资人职责部门或其他监管部门严格按照</w:t>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委组织部党建考核有关要求将党建考核得分（满分100分）按30%权重比例折算计入年度经营业绩考核总分。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第十八条</w:t>
      </w:r>
      <w:r>
        <w:rPr>
          <w:rFonts w:hint="eastAsia"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根据</w:t>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属企业经营业绩考核得分，年度经营业绩考核结果分为A、B、C、D、E五个级别对应不同的年度综合考核评价系数；任期经营业绩考核结果分为A、B、C、D四个级别对应不同的任期综合考核评价系数。</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第十九条</w:t>
      </w:r>
      <w:r>
        <w:rPr>
          <w:rFonts w:hint="eastAsia" w:eastAsia="方正仿宋_GBK" w:cs="Times New Roman"/>
          <w:color w:val="auto"/>
          <w:sz w:val="32"/>
          <w:szCs w:val="32"/>
          <w:highlight w:val="none"/>
          <w:lang w:val="en-US" w:eastAsia="zh-CN"/>
        </w:rPr>
        <w:t xml:space="preserve"> 区</w:t>
      </w:r>
      <w:r>
        <w:rPr>
          <w:rFonts w:hint="default" w:ascii="Times New Roman" w:hAnsi="Times New Roman" w:eastAsia="方正仿宋_GBK" w:cs="Times New Roman"/>
          <w:color w:val="auto"/>
          <w:sz w:val="32"/>
          <w:szCs w:val="32"/>
          <w:highlight w:val="none"/>
          <w:lang w:val="en-US" w:eastAsia="zh-CN"/>
        </w:rPr>
        <w:t>履行出资人职责部门或其他</w:t>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直监管部门依据年度和任期经营业绩考核结果测算确定企业负责人的绩效薪酬标准，并实施奖惩，具体按照</w:t>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属企业负责人薪酬管理有关规定执行。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第二十条</w:t>
      </w:r>
      <w:r>
        <w:rPr>
          <w:rFonts w:hint="eastAsia"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企业连续2年年度经营业绩考核结果为E级或者任期经营业绩考核结果为D级，且无重大客观原因的，对负有直接责任的企业负责人，履行出资人职责部门或其他</w:t>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直监管部门提出调整建议。</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第六章 附则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第二十一条</w:t>
      </w:r>
      <w:r>
        <w:rPr>
          <w:rFonts w:hint="eastAsia"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考核期间由于政策法规变更、改制重组、宏观经济环境发生重大变化等情况，履行出资人职责部门可调整变更经营业绩责任书的相关内容；授权</w:t>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国资委根据监管工作需要制定其他扣分细则。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第二十二条</w:t>
      </w:r>
      <w:r>
        <w:rPr>
          <w:rFonts w:hint="eastAsia" w:eastAsia="方正仿宋_GBK" w:cs="Times New Roman"/>
          <w:color w:val="auto"/>
          <w:sz w:val="32"/>
          <w:szCs w:val="32"/>
          <w:highlight w:val="none"/>
          <w:lang w:val="en-US" w:eastAsia="zh-CN"/>
        </w:rPr>
        <w:t xml:space="preserve"> 区</w:t>
      </w:r>
      <w:r>
        <w:rPr>
          <w:rFonts w:hint="default" w:ascii="Times New Roman" w:hAnsi="Times New Roman" w:eastAsia="方正仿宋_GBK" w:cs="Times New Roman"/>
          <w:color w:val="auto"/>
          <w:sz w:val="32"/>
          <w:szCs w:val="32"/>
          <w:highlight w:val="none"/>
          <w:lang w:val="en-US" w:eastAsia="zh-CN"/>
        </w:rPr>
        <w:t>属企业生产经营状况持续恶化严重资不抵债或者企业性质发生变化，不具备考核条件，由企业提出申请，履行出资人职责部门批准可不纳入经营业绩考核范围，实行重点关注管理，企业负责人薪酬不得增长。</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第二十三条</w:t>
      </w:r>
      <w:r>
        <w:rPr>
          <w:rFonts w:hint="eastAsia"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新组建企业（为考核年度内成立不足半年的企业）、非正常经营的企业（为处于司法重整期间或专项整改等非正常经营状态的企业），根据企业实际，实行</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一企一策</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考核，具体考核事项在责任书中予以明确。</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第二十四条</w:t>
      </w:r>
      <w:r>
        <w:rPr>
          <w:rFonts w:hint="eastAsia" w:eastAsia="方正仿宋_GBK" w:cs="Times New Roman"/>
          <w:color w:val="auto"/>
          <w:sz w:val="32"/>
          <w:szCs w:val="32"/>
          <w:highlight w:val="none"/>
          <w:lang w:val="en-US" w:eastAsia="zh-CN"/>
        </w:rPr>
        <w:t xml:space="preserve"> 区</w:t>
      </w:r>
      <w:r>
        <w:rPr>
          <w:rFonts w:hint="default" w:ascii="Times New Roman" w:hAnsi="Times New Roman" w:eastAsia="方正仿宋_GBK" w:cs="Times New Roman"/>
          <w:color w:val="auto"/>
          <w:sz w:val="32"/>
          <w:szCs w:val="32"/>
          <w:highlight w:val="none"/>
          <w:lang w:val="en-US" w:eastAsia="zh-CN"/>
        </w:rPr>
        <w:t>属企业对所属企业经营业绩考核严格按照本办法</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一企一策</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确定考核指标和计分细则，报履行出资人职责部门或其他监管部门备案执行；各规范提升类企业行业管理部门对所属企业经营业绩考核，严格按照本办法确定考核指标及计分细则报</w:t>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国资委审核备案后执行。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第二十五条</w:t>
      </w:r>
      <w:r>
        <w:rPr>
          <w:rFonts w:hint="eastAsia" w:eastAsia="方正仿宋_GBK" w:cs="Times New Roman"/>
          <w:color w:val="auto"/>
          <w:sz w:val="32"/>
          <w:szCs w:val="32"/>
          <w:highlight w:val="none"/>
          <w:lang w:val="en-US" w:eastAsia="zh-CN"/>
        </w:rPr>
        <w:t xml:space="preserve"> 区</w:t>
      </w:r>
      <w:r>
        <w:rPr>
          <w:rFonts w:hint="default" w:ascii="Times New Roman" w:hAnsi="Times New Roman" w:eastAsia="方正仿宋_GBK" w:cs="Times New Roman"/>
          <w:color w:val="auto"/>
          <w:sz w:val="32"/>
          <w:szCs w:val="32"/>
          <w:highlight w:val="none"/>
          <w:lang w:val="en-US" w:eastAsia="zh-CN"/>
        </w:rPr>
        <w:t>属企业负责人受到党纪处分、政务处分、问责处理和涉嫌违纪违法被审查调查期间的薪酬扣减参照《云</w:t>
      </w:r>
      <w:r>
        <w:rPr>
          <w:rFonts w:hint="eastAsia" w:eastAsia="方正仿宋_GBK" w:cs="Times New Roman"/>
          <w:color w:val="auto"/>
          <w:sz w:val="32"/>
          <w:szCs w:val="32"/>
          <w:highlight w:val="none"/>
          <w:lang w:val="en-US" w:eastAsia="zh-CN"/>
        </w:rPr>
        <w:t>南</w:t>
      </w:r>
      <w:r>
        <w:rPr>
          <w:rFonts w:hint="default" w:ascii="Times New Roman" w:hAnsi="Times New Roman" w:eastAsia="方正仿宋_GBK" w:cs="Times New Roman"/>
          <w:color w:val="auto"/>
          <w:sz w:val="32"/>
          <w:szCs w:val="32"/>
          <w:highlight w:val="none"/>
          <w:lang w:val="en-US" w:eastAsia="zh-CN"/>
        </w:rPr>
        <w:t>省省属企业领导人员收到处分问责处理和涉嫌违纪违法被审查调查期间薪酬扣减办法》（云国资分配〔2020〕171号）执行。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第二十六条</w:t>
      </w:r>
      <w:r>
        <w:rPr>
          <w:rFonts w:hint="eastAsia"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本办法由</w:t>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国资委负责解释；本办法自印发之日起执行；原有规定与本办法不一致的，以本办法为准。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附件：1.经营业绩考核得分加（扣）分细则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left="1916" w:leftChars="665" w:right="0" w:rightChars="0" w:hanging="320" w:hangingChars="1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lang w:eastAsia="zh-CN"/>
        </w:rPr>
        <w:t>曲靖市麒麟区城乡建设投资（集团）有限公司</w:t>
      </w:r>
      <w:r>
        <w:rPr>
          <w:rFonts w:hint="default" w:ascii="Times New Roman" w:hAnsi="Times New Roman" w:eastAsia="方正仿宋_GBK" w:cs="Times New Roman"/>
          <w:color w:val="auto"/>
          <w:sz w:val="32"/>
          <w:szCs w:val="32"/>
          <w:highlight w:val="none"/>
          <w:lang w:val="en-US" w:eastAsia="zh-CN"/>
        </w:rPr>
        <w:t>年度（任期）经营业绩考核计分细则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left="1916" w:leftChars="665" w:right="0" w:rightChars="0" w:hanging="320" w:hangingChars="1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w:t>
      </w:r>
      <w:r>
        <w:rPr>
          <w:rFonts w:hint="eastAsia" w:ascii="Times New Roman" w:hAnsi="Times New Roman" w:eastAsia="方正仿宋_GBK" w:cs="Times New Roman"/>
          <w:color w:val="auto"/>
          <w:sz w:val="32"/>
          <w:szCs w:val="32"/>
          <w:highlight w:val="none"/>
          <w:lang w:eastAsia="zh-CN"/>
        </w:rPr>
        <w:t>曲靖市麒麟区工业开发投资（集团）有限公司</w:t>
      </w:r>
      <w:r>
        <w:rPr>
          <w:rFonts w:hint="default" w:ascii="Times New Roman" w:hAnsi="Times New Roman" w:eastAsia="方正仿宋_GBK" w:cs="Times New Roman"/>
          <w:color w:val="auto"/>
          <w:sz w:val="32"/>
          <w:szCs w:val="32"/>
          <w:highlight w:val="none"/>
          <w:lang w:val="en-US" w:eastAsia="zh-CN"/>
        </w:rPr>
        <w:t>年度（任期）营业绩考核计分细则</w:t>
      </w:r>
    </w:p>
    <w:p>
      <w:pPr>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br w:type="page"/>
      </w:r>
    </w:p>
    <w:p>
      <w:pPr>
        <w:pStyle w:val="12"/>
        <w:keepNext w:val="0"/>
        <w:keepLines w:val="0"/>
        <w:widowControl w:val="0"/>
        <w:shd w:val="clear" w:color="auto" w:fill="auto"/>
        <w:bidi w:val="0"/>
        <w:spacing w:before="0" w:after="320" w:line="399" w:lineRule="exact"/>
        <w:ind w:left="0" w:right="0" w:firstLine="0"/>
        <w:jc w:val="both"/>
        <w:rPr>
          <w:rFonts w:hint="eastAsia" w:ascii="黑体" w:hAnsi="黑体" w:eastAsia="黑体" w:cs="黑体"/>
          <w:color w:val="auto"/>
          <w:sz w:val="32"/>
          <w:szCs w:val="32"/>
          <w:highlight w:val="none"/>
        </w:rPr>
      </w:pPr>
      <w:r>
        <w:rPr>
          <w:rFonts w:hint="eastAsia" w:ascii="黑体" w:hAnsi="黑体" w:eastAsia="黑体" w:cs="黑体"/>
          <w:color w:val="auto"/>
          <w:spacing w:val="0"/>
          <w:w w:val="100"/>
          <w:position w:val="0"/>
          <w:sz w:val="32"/>
          <w:szCs w:val="32"/>
          <w:highlight w:val="none"/>
        </w:rPr>
        <w:t>附件</w:t>
      </w:r>
      <w:r>
        <w:rPr>
          <w:rFonts w:hint="eastAsia" w:ascii="黑体" w:hAnsi="黑体" w:eastAsia="黑体" w:cs="黑体"/>
          <w:b/>
          <w:bCs/>
          <w:color w:val="auto"/>
          <w:spacing w:val="0"/>
          <w:w w:val="100"/>
          <w:position w:val="0"/>
          <w:sz w:val="32"/>
          <w:szCs w:val="32"/>
          <w:highlight w:val="none"/>
        </w:rPr>
        <w:t>1</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经营业绩考核得分加（扣）分细则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jc w:val="both"/>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一、在年度考核得分的基础上，如果在考核期间企业存在以下情况，将直接对该年度进行加分奖励，加分不受本办法中其他规定的限制。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32"/>
          <w:szCs w:val="32"/>
          <w:highlight w:val="none"/>
          <w:lang w:val="en-US" w:eastAsia="zh-CN"/>
        </w:rPr>
        <w:t>（一）受区级及以上党委、政府表彰</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1.受党中央、国务院表彰，1项计4分。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2.受国家有关部委、省委、省政府表彰奖励，1项计2分。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3.受市委、市政府表彰奖励，1项计1分。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val="en-US" w:eastAsia="zh-CN"/>
        </w:rPr>
        <w:t>受</w:t>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委、</w:t>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政府表彰奖励</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1项计</w:t>
      </w:r>
      <w:r>
        <w:rPr>
          <w:rFonts w:hint="eastAsia" w:eastAsia="方正仿宋_GBK" w:cs="Times New Roman"/>
          <w:color w:val="auto"/>
          <w:sz w:val="32"/>
          <w:szCs w:val="32"/>
          <w:highlight w:val="none"/>
          <w:lang w:val="en-US" w:eastAsia="zh-CN"/>
        </w:rPr>
        <w:t>0.5</w:t>
      </w:r>
      <w:r>
        <w:rPr>
          <w:rFonts w:hint="default" w:ascii="Times New Roman" w:hAnsi="Times New Roman" w:eastAsia="方正仿宋_GBK" w:cs="Times New Roman"/>
          <w:color w:val="auto"/>
          <w:sz w:val="32"/>
          <w:szCs w:val="32"/>
          <w:highlight w:val="none"/>
          <w:lang w:val="en-US" w:eastAsia="zh-CN"/>
        </w:rPr>
        <w:t>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同年同内容受多级表彰的，以最高级别表彰计分，不重复累计。由各</w:t>
      </w:r>
      <w:r>
        <w:rPr>
          <w:rFonts w:hint="eastAsia" w:ascii="Times New Roman" w:hAnsi="Times New Roman"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属企业提供正式表彰文件、荣誉证书等，</w:t>
      </w:r>
      <w:r>
        <w:rPr>
          <w:rFonts w:hint="eastAsia" w:ascii="Times New Roman" w:hAnsi="Times New Roman"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国资委综合认定。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32"/>
          <w:szCs w:val="32"/>
          <w:highlight w:val="none"/>
          <w:lang w:val="en-US" w:eastAsia="zh-CN"/>
        </w:rPr>
        <w:t>（二）企业社会贡献突出</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1.企业当年应交税费超过1亿元的，年度加1分，超过2亿元的，年度加2分，超过5亿元的，年度加3分。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2.年度国有资本收益上缴超过5000万元的，年度加2分，年度国有资本收益上缴超过10000万元的，年度加4分。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（三）其他事项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1.企业境内信用评级维持在AA+；或者原评级低于AA+,提升至AA+及以上的，年度加2分。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2.企业当年净资产收益率达到全国同行业优秀值，年度加2分。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3.完成节能减排目标被市级及其以上部门表彰的加1分。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二、在年度考核得分基础上，如果在考核期间企业存在以下情况，扣减该年度考核得分或降级，扣分不受本办法中其他规定限制。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（一）安全事故、环境事件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企业年度发生较大及以上生产安全责任事故、重大及以上生态环境事件、严重质量责任事故的，视情形年度扣</w:t>
      </w:r>
      <w:r>
        <w:rPr>
          <w:rFonts w:hint="eastAsia" w:eastAsia="方正仿宋_GBK" w:cs="Times New Roman"/>
          <w:color w:val="auto"/>
          <w:sz w:val="32"/>
          <w:szCs w:val="32"/>
          <w:highlight w:val="none"/>
          <w:lang w:val="en-US" w:eastAsia="zh-CN"/>
        </w:rPr>
        <w:t>1—5</w:t>
      </w:r>
      <w:r>
        <w:rPr>
          <w:rFonts w:hint="default" w:ascii="Times New Roman" w:hAnsi="Times New Roman" w:eastAsia="方正仿宋_GBK" w:cs="Times New Roman"/>
          <w:color w:val="auto"/>
          <w:sz w:val="32"/>
          <w:szCs w:val="32"/>
          <w:highlight w:val="none"/>
          <w:lang w:val="en-US" w:eastAsia="zh-CN"/>
        </w:rPr>
        <w:t>分或直接降低考核级别。</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default" w:ascii="楷体" w:hAnsi="楷体" w:eastAsia="楷体" w:cs="楷体"/>
          <w:color w:val="auto"/>
          <w:sz w:val="32"/>
          <w:szCs w:val="32"/>
          <w:highlight w:val="none"/>
          <w:lang w:val="en-US" w:eastAsia="zh-CN"/>
        </w:rPr>
      </w:pPr>
      <w:r>
        <w:rPr>
          <w:rFonts w:hint="default" w:ascii="楷体" w:hAnsi="楷体" w:eastAsia="楷体" w:cs="楷体"/>
          <w:color w:val="auto"/>
          <w:sz w:val="32"/>
          <w:szCs w:val="32"/>
          <w:highlight w:val="none"/>
          <w:lang w:val="en-US" w:eastAsia="zh-CN"/>
        </w:rPr>
        <w:t>（二）综治维稳责任事件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企业发生重大信访、综治维稳责任事件，严重影响企业生产生活秩序或造成社会负面影响的，视情形年度扣</w:t>
      </w:r>
      <w:r>
        <w:rPr>
          <w:rFonts w:hint="eastAsia" w:eastAsia="方正仿宋_GBK" w:cs="Times New Roman"/>
          <w:color w:val="auto"/>
          <w:sz w:val="32"/>
          <w:szCs w:val="32"/>
          <w:highlight w:val="none"/>
          <w:lang w:val="en-US" w:eastAsia="zh-CN"/>
        </w:rPr>
        <w:t>1—5</w:t>
      </w:r>
      <w:r>
        <w:rPr>
          <w:rFonts w:hint="default" w:ascii="Times New Roman" w:hAnsi="Times New Roman" w:eastAsia="方正仿宋_GBK" w:cs="Times New Roman"/>
          <w:color w:val="auto"/>
          <w:sz w:val="32"/>
          <w:szCs w:val="32"/>
          <w:highlight w:val="none"/>
          <w:lang w:val="en-US" w:eastAsia="zh-CN"/>
        </w:rPr>
        <w:t>分或直接降低考核级别。</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default" w:ascii="楷体" w:hAnsi="楷体" w:eastAsia="楷体" w:cs="楷体"/>
          <w:color w:val="auto"/>
          <w:sz w:val="32"/>
          <w:szCs w:val="32"/>
          <w:highlight w:val="none"/>
          <w:lang w:val="en-US" w:eastAsia="zh-CN"/>
        </w:rPr>
      </w:pPr>
      <w:r>
        <w:rPr>
          <w:rFonts w:hint="default" w:ascii="楷体" w:hAnsi="楷体" w:eastAsia="楷体" w:cs="楷体"/>
          <w:color w:val="auto"/>
          <w:sz w:val="32"/>
          <w:szCs w:val="32"/>
          <w:highlight w:val="none"/>
          <w:lang w:val="en-US" w:eastAsia="zh-CN"/>
        </w:rPr>
        <w:t>（三）财务造假</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企业违反《中华人民共和国会计法》《企业会计准则》等有关法律法规和规章，虚报、瞒报财务状况，经认定造成重大不良影响或者国有资产损失的，视情形年度扣5</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10分或直接降低考核级别。</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default" w:ascii="楷体" w:hAnsi="楷体" w:eastAsia="楷体" w:cs="楷体"/>
          <w:color w:val="auto"/>
          <w:sz w:val="32"/>
          <w:szCs w:val="32"/>
          <w:highlight w:val="none"/>
          <w:lang w:val="en-US" w:eastAsia="zh-CN"/>
        </w:rPr>
      </w:pPr>
      <w:r>
        <w:rPr>
          <w:rFonts w:hint="default" w:ascii="楷体" w:hAnsi="楷体" w:eastAsia="楷体" w:cs="楷体"/>
          <w:color w:val="auto"/>
          <w:sz w:val="32"/>
          <w:szCs w:val="32"/>
          <w:highlight w:val="none"/>
          <w:lang w:val="en-US" w:eastAsia="zh-CN"/>
        </w:rPr>
        <w:t>（四）违法违纪</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1.企业法定代表人或有关负责人违反国家法律法规，造成国有资产损失的，视情形年度扣1</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10分或直接降低考核级别。</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2.企业负责人发生重大违纪违法案件的，视情形年度扣5分一10分或直接降低考核级别。</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楷体" w:hAnsi="楷体" w:eastAsia="楷体" w:cs="楷体"/>
          <w:color w:val="auto"/>
          <w:sz w:val="32"/>
          <w:szCs w:val="32"/>
          <w:highlight w:val="none"/>
          <w:lang w:val="en-US" w:eastAsia="zh-CN"/>
        </w:rPr>
      </w:pPr>
      <w:r>
        <w:rPr>
          <w:rFonts w:hint="default" w:ascii="楷体" w:hAnsi="楷体" w:eastAsia="楷体" w:cs="楷体"/>
          <w:color w:val="auto"/>
          <w:sz w:val="32"/>
          <w:szCs w:val="32"/>
          <w:highlight w:val="none"/>
          <w:lang w:val="en-US" w:eastAsia="zh-CN"/>
        </w:rPr>
        <w:t>（五）违规决策乱投资造成国有资产损失</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企业负责人违规决策造成国有资产重大损失的，视情形年度扣1</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10分或直接降低考核级别。</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属企业重大事项未严格履行有关程序备案或核准造成国有资产重大损失的，视情形年度扣1</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5分或直接降低考核级别。</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楷体" w:hAnsi="楷体" w:eastAsia="楷体" w:cs="楷体"/>
          <w:color w:val="auto"/>
          <w:sz w:val="32"/>
          <w:szCs w:val="32"/>
          <w:highlight w:val="none"/>
          <w:lang w:val="en-US" w:eastAsia="zh-CN"/>
        </w:rPr>
      </w:pPr>
      <w:r>
        <w:rPr>
          <w:rFonts w:hint="default" w:ascii="楷体" w:hAnsi="楷体" w:eastAsia="楷体" w:cs="楷体"/>
          <w:color w:val="auto"/>
          <w:sz w:val="32"/>
          <w:szCs w:val="32"/>
          <w:highlight w:val="none"/>
          <w:lang w:val="en-US" w:eastAsia="zh-CN"/>
        </w:rPr>
        <w:t>（六）其他事项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1.企业年度党委书记抓基层党建述职评议考核综合评价意见定性为</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一般</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的年度扣3分，定性为</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差</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的年度扣5分。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2.企业党风廉政建设考核为</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基本合格</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的年度扣4分，考核为</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不合格</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的年度扣5分。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3.企业年度因农民工工资支付问题，发生突发性事件或由此而受到国家、省及省直有关部门处罚等，视情形年度扣1</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10分或直接降低考核级别。</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4.对承担</w:t>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委、</w:t>
      </w:r>
      <w:r>
        <w:rPr>
          <w:rFonts w:hint="eastAsia"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政府安排的重点工作任务完成较差的，视情形年度扣1</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10分或直接降低考核级别。</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5.企业境内信用评级下降的年度扣3</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5分。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6.国有控股企业具备利润分配条件，但未进行利润分配或分配比例低于国资预算对国有独资企业规定上缴比例的，年度如1</w:t>
      </w:r>
      <w:r>
        <w:rPr>
          <w:rFonts w:hint="eastAsia" w:eastAsia="方正仿宋_GBK" w:cs="Times New Roman"/>
          <w:color w:val="auto"/>
          <w:sz w:val="32"/>
          <w:szCs w:val="32"/>
          <w:highlight w:val="none"/>
          <w:lang w:val="en-US" w:eastAsia="zh-CN"/>
        </w:rPr>
        <w:t>—2分。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7.节能减排工作被市级及其以上部门通报批评的扣1分。</w:t>
      </w:r>
    </w:p>
    <w:p>
      <w:pPr>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br w:type="page"/>
      </w:r>
    </w:p>
    <w:p>
      <w:pPr>
        <w:pStyle w:val="12"/>
        <w:keepNext w:val="0"/>
        <w:keepLines w:val="0"/>
        <w:widowControl w:val="0"/>
        <w:shd w:val="clear" w:color="auto" w:fill="auto"/>
        <w:bidi w:val="0"/>
        <w:spacing w:before="0" w:after="320" w:line="399" w:lineRule="exact"/>
        <w:ind w:left="0" w:right="0" w:firstLine="0"/>
        <w:jc w:val="both"/>
        <w:rPr>
          <w:rFonts w:hint="eastAsia" w:ascii="黑体" w:hAnsi="黑体" w:eastAsia="黑体" w:cs="黑体"/>
          <w:b/>
          <w:bCs/>
          <w:color w:val="auto"/>
          <w:spacing w:val="0"/>
          <w:w w:val="100"/>
          <w:position w:val="0"/>
          <w:sz w:val="32"/>
          <w:szCs w:val="32"/>
          <w:highlight w:val="none"/>
          <w:lang w:val="en-US" w:eastAsia="zh-CN"/>
        </w:rPr>
      </w:pPr>
      <w:r>
        <w:rPr>
          <w:rFonts w:hint="eastAsia" w:ascii="黑体" w:hAnsi="黑体" w:eastAsia="黑体" w:cs="黑体"/>
          <w:color w:val="auto"/>
          <w:spacing w:val="0"/>
          <w:w w:val="100"/>
          <w:position w:val="0"/>
          <w:sz w:val="32"/>
          <w:szCs w:val="32"/>
          <w:highlight w:val="none"/>
        </w:rPr>
        <w:t>附件</w:t>
      </w:r>
      <w:r>
        <w:rPr>
          <w:rFonts w:hint="eastAsia" w:ascii="黑体" w:hAnsi="黑体" w:eastAsia="黑体" w:cs="黑体"/>
          <w:b/>
          <w:bCs/>
          <w:color w:val="auto"/>
          <w:spacing w:val="0"/>
          <w:w w:val="100"/>
          <w:position w:val="0"/>
          <w:sz w:val="32"/>
          <w:szCs w:val="32"/>
          <w:highlight w:val="none"/>
          <w:lang w:val="en-US" w:eastAsia="zh-CN"/>
        </w:rPr>
        <w:t>2</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jc w:val="center"/>
        <w:textAlignment w:val="auto"/>
        <w:rPr>
          <w:rFonts w:hint="eastAsia" w:ascii="方正小标宋_GBK" w:hAnsi="方正小标宋_GBK" w:eastAsia="方正小标宋_GBK" w:cs="方正小标宋_GBK"/>
          <w:color w:val="auto"/>
          <w:w w:val="95"/>
          <w:sz w:val="44"/>
          <w:szCs w:val="44"/>
          <w:highlight w:val="none"/>
          <w:lang w:eastAsia="zh-CN"/>
        </w:rPr>
      </w:pPr>
      <w:r>
        <w:rPr>
          <w:rFonts w:hint="eastAsia" w:ascii="方正小标宋_GBK" w:hAnsi="方正小标宋_GBK" w:eastAsia="方正小标宋_GBK" w:cs="方正小标宋_GBK"/>
          <w:color w:val="auto"/>
          <w:w w:val="95"/>
          <w:sz w:val="44"/>
          <w:szCs w:val="44"/>
          <w:highlight w:val="none"/>
          <w:lang w:eastAsia="zh-CN"/>
        </w:rPr>
        <w:t>曲靖市麒麟区城乡建设投资（集团）有限公司</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jc w:val="center"/>
        <w:textAlignment w:val="auto"/>
        <w:rPr>
          <w:rFonts w:hint="eastAsia" w:ascii="方正小标宋_GBK" w:hAnsi="方正小标宋_GBK" w:eastAsia="方正小标宋_GBK" w:cs="方正小标宋_GBK"/>
          <w:color w:val="auto"/>
          <w:w w:val="95"/>
          <w:sz w:val="44"/>
          <w:szCs w:val="44"/>
          <w:highlight w:val="none"/>
          <w:lang w:val="en-US" w:eastAsia="zh-CN"/>
        </w:rPr>
      </w:pPr>
      <w:r>
        <w:rPr>
          <w:rFonts w:hint="eastAsia" w:ascii="方正小标宋_GBK" w:hAnsi="方正小标宋_GBK" w:eastAsia="方正小标宋_GBK" w:cs="方正小标宋_GBK"/>
          <w:color w:val="auto"/>
          <w:w w:val="95"/>
          <w:sz w:val="44"/>
          <w:szCs w:val="44"/>
          <w:highlight w:val="none"/>
          <w:lang w:val="en-US" w:eastAsia="zh-CN"/>
        </w:rPr>
        <w:t>年度（任期）经营业绩考核综合计分细则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一、年度经营业绩考核综合计分细则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（一）年度经营业绩考核综合计分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年度经营业绩考核综合得分（Z）=（质量效益指标得分+补短板指标改善评价得分+非经济指标考核评价得分+</w:t>
      </w:r>
      <w:r>
        <w:rPr>
          <w:rFonts w:hint="eastAsia" w:ascii="方正楷体_GBK" w:hAnsi="方正楷体_GBK" w:eastAsia="方正楷体_GBK" w:cs="方正楷体_GBK"/>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考核加分-</w:t>
      </w:r>
      <w:r>
        <w:rPr>
          <w:rFonts w:hint="eastAsia" w:ascii="方正楷体_GBK" w:hAnsi="方正楷体_GBK" w:eastAsia="方正楷体_GBK" w:cs="方正楷体_GBK"/>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考核扣分）</w:t>
      </w:r>
      <w:r>
        <w:rPr>
          <w:rFonts w:hint="default" w:ascii="Arial" w:hAnsi="Arial" w:eastAsia="仿宋" w:cs="Arial"/>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70%+企业党建考核得分</w:t>
      </w:r>
      <w:r>
        <w:rPr>
          <w:rFonts w:hint="default" w:ascii="Arial" w:hAnsi="Arial" w:eastAsia="仿宋" w:cs="Arial"/>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30%。</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（二）年度经营业绩考核各指标计分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1.质量效益指标计分细则</w:t>
      </w:r>
    </w:p>
    <w:tbl>
      <w:tblPr>
        <w:tblStyle w:val="8"/>
        <w:tblW w:w="8755" w:type="dxa"/>
        <w:jc w:val="center"/>
        <w:tblInd w:w="0" w:type="dxa"/>
        <w:tblLayout w:type="fixed"/>
        <w:tblCellMar>
          <w:top w:w="0" w:type="dxa"/>
          <w:left w:w="10" w:type="dxa"/>
          <w:bottom w:w="0" w:type="dxa"/>
          <w:right w:w="10" w:type="dxa"/>
        </w:tblCellMar>
      </w:tblPr>
      <w:tblGrid>
        <w:gridCol w:w="754"/>
        <w:gridCol w:w="1531"/>
        <w:gridCol w:w="1056"/>
        <w:gridCol w:w="839"/>
        <w:gridCol w:w="3913"/>
        <w:gridCol w:w="662"/>
      </w:tblGrid>
      <w:tr>
        <w:tblPrEx>
          <w:tblLayout w:type="fixed"/>
          <w:tblCellMar>
            <w:top w:w="0" w:type="dxa"/>
            <w:left w:w="10" w:type="dxa"/>
            <w:bottom w:w="0" w:type="dxa"/>
            <w:right w:w="10" w:type="dxa"/>
          </w:tblCellMar>
        </w:tblPrEx>
        <w:trPr>
          <w:trHeight w:val="1027" w:hRule="exact"/>
          <w:jc w:val="center"/>
        </w:trPr>
        <w:tc>
          <w:tcPr>
            <w:tcW w:w="754"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140"/>
              <w:jc w:val="left"/>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序号</w:t>
            </w:r>
          </w:p>
        </w:tc>
        <w:tc>
          <w:tcPr>
            <w:tcW w:w="1531"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12" w:lineRule="exact"/>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质量效益指标</w:t>
            </w:r>
          </w:p>
        </w:tc>
        <w:tc>
          <w:tcPr>
            <w:tcW w:w="1056"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40" w:line="240" w:lineRule="auto"/>
              <w:ind w:left="0" w:right="0" w:firstLine="0"/>
              <w:jc w:val="center"/>
              <w:rPr>
                <w:rFonts w:hint="eastAsia" w:ascii="黑体" w:hAnsi="黑体" w:eastAsia="黑体" w:cs="黑体"/>
                <w:color w:val="auto"/>
                <w:spacing w:val="0"/>
                <w:w w:val="100"/>
                <w:position w:val="0"/>
                <w:sz w:val="24"/>
                <w:szCs w:val="24"/>
                <w:highlight w:val="none"/>
              </w:rPr>
            </w:pPr>
            <w:r>
              <w:rPr>
                <w:rFonts w:hint="eastAsia" w:ascii="黑体" w:hAnsi="黑体" w:eastAsia="黑体" w:cs="黑体"/>
                <w:color w:val="auto"/>
                <w:spacing w:val="0"/>
                <w:w w:val="100"/>
                <w:position w:val="0"/>
                <w:sz w:val="24"/>
                <w:szCs w:val="24"/>
                <w:highlight w:val="none"/>
              </w:rPr>
              <w:t>分值</w:t>
            </w:r>
          </w:p>
          <w:p>
            <w:pPr>
              <w:pStyle w:val="14"/>
              <w:keepNext w:val="0"/>
              <w:keepLines w:val="0"/>
              <w:widowControl w:val="0"/>
              <w:shd w:val="clear" w:color="auto" w:fill="auto"/>
              <w:bidi w:val="0"/>
              <w:spacing w:before="0" w:after="40" w:line="240" w:lineRule="auto"/>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（60分）</w:t>
            </w:r>
          </w:p>
        </w:tc>
        <w:tc>
          <w:tcPr>
            <w:tcW w:w="839"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07" w:lineRule="exact"/>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目标值</w:t>
            </w:r>
          </w:p>
        </w:tc>
        <w:tc>
          <w:tcPr>
            <w:tcW w:w="3913"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考核计分标准</w:t>
            </w:r>
          </w:p>
        </w:tc>
        <w:tc>
          <w:tcPr>
            <w:tcW w:w="662" w:type="dxa"/>
            <w:tcBorders>
              <w:top w:val="single" w:color="auto" w:sz="4" w:space="0"/>
              <w:left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right"/>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计分</w:t>
            </w:r>
          </w:p>
        </w:tc>
      </w:tr>
      <w:tr>
        <w:tblPrEx>
          <w:tblLayout w:type="fixed"/>
          <w:tblCellMar>
            <w:top w:w="0" w:type="dxa"/>
            <w:left w:w="10" w:type="dxa"/>
            <w:bottom w:w="0" w:type="dxa"/>
            <w:right w:w="10" w:type="dxa"/>
          </w:tblCellMar>
        </w:tblPrEx>
        <w:trPr>
          <w:trHeight w:val="1458" w:hRule="exact"/>
          <w:jc w:val="center"/>
        </w:trPr>
        <w:tc>
          <w:tcPr>
            <w:tcW w:w="754"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300"/>
              <w:jc w:val="left"/>
              <w:rPr>
                <w:color w:val="auto"/>
                <w:sz w:val="22"/>
                <w:szCs w:val="22"/>
                <w:highlight w:val="none"/>
              </w:rPr>
            </w:pPr>
            <w:r>
              <w:rPr>
                <w:rFonts w:ascii="Times New Roman" w:hAnsi="Times New Roman" w:eastAsia="Times New Roman" w:cs="Times New Roman"/>
                <w:color w:val="auto"/>
                <w:spacing w:val="0"/>
                <w:w w:val="100"/>
                <w:position w:val="0"/>
                <w:sz w:val="22"/>
                <w:szCs w:val="22"/>
                <w:highlight w:val="none"/>
              </w:rPr>
              <w:t>1</w:t>
            </w:r>
          </w:p>
        </w:tc>
        <w:tc>
          <w:tcPr>
            <w:tcW w:w="1531"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利润总额</w:t>
            </w:r>
          </w:p>
        </w:tc>
        <w:tc>
          <w:tcPr>
            <w:tcW w:w="1056"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color w:val="auto"/>
                <w:sz w:val="22"/>
                <w:szCs w:val="22"/>
                <w:highlight w:val="none"/>
              </w:rPr>
            </w:pPr>
            <w:r>
              <w:rPr>
                <w:rFonts w:ascii="Times New Roman" w:hAnsi="Times New Roman" w:eastAsia="Times New Roman" w:cs="Times New Roman"/>
                <w:color w:val="auto"/>
                <w:spacing w:val="0"/>
                <w:w w:val="100"/>
                <w:position w:val="0"/>
                <w:sz w:val="22"/>
                <w:szCs w:val="22"/>
                <w:highlight w:val="none"/>
              </w:rPr>
              <w:t>20</w:t>
            </w:r>
          </w:p>
        </w:tc>
        <w:tc>
          <w:tcPr>
            <w:tcW w:w="839" w:type="dxa"/>
            <w:tcBorders>
              <w:top w:val="single" w:color="auto" w:sz="4" w:space="0"/>
              <w:left w:val="single" w:color="auto" w:sz="4" w:space="0"/>
            </w:tcBorders>
            <w:shd w:val="clear" w:color="auto" w:fill="FFFFFF"/>
            <w:vAlign w:val="top"/>
          </w:tcPr>
          <w:p>
            <w:pPr>
              <w:widowControl w:val="0"/>
              <w:rPr>
                <w:color w:val="auto"/>
                <w:sz w:val="10"/>
                <w:szCs w:val="10"/>
                <w:highlight w:val="none"/>
              </w:rPr>
            </w:pPr>
          </w:p>
        </w:tc>
        <w:tc>
          <w:tcPr>
            <w:tcW w:w="3913"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307" w:lineRule="exact"/>
              <w:ind w:left="0" w:right="0" w:firstLine="0"/>
              <w:jc w:val="both"/>
              <w:rPr>
                <w:rFonts w:hint="eastAsia" w:ascii="Times New Roman" w:hAnsi="Times New Roman" w:eastAsia="仿宋" w:cs="Times New Roman"/>
                <w:b w:val="0"/>
                <w:bCs w:val="0"/>
                <w:color w:val="auto"/>
                <w:spacing w:val="0"/>
                <w:w w:val="100"/>
                <w:position w:val="0"/>
                <w:sz w:val="24"/>
                <w:szCs w:val="24"/>
                <w:highlight w:val="none"/>
              </w:rPr>
            </w:pPr>
            <w:r>
              <w:rPr>
                <w:rFonts w:hint="eastAsia" w:ascii="Times New Roman" w:hAnsi="Times New Roman" w:eastAsia="仿宋" w:cs="Times New Roman"/>
                <w:b w:val="0"/>
                <w:bCs w:val="0"/>
                <w:color w:val="auto"/>
                <w:spacing w:val="0"/>
                <w:w w:val="100"/>
                <w:position w:val="0"/>
                <w:sz w:val="24"/>
                <w:szCs w:val="24"/>
                <w:highlight w:val="none"/>
              </w:rPr>
              <w:t>完成目标值，得基本分</w:t>
            </w:r>
            <w:r>
              <w:rPr>
                <w:rFonts w:hint="default" w:ascii="Times New Roman" w:hAnsi="Times New Roman" w:eastAsia="仿宋" w:cs="Times New Roman"/>
                <w:b w:val="0"/>
                <w:bCs w:val="0"/>
                <w:color w:val="auto"/>
                <w:spacing w:val="0"/>
                <w:w w:val="100"/>
                <w:position w:val="0"/>
                <w:sz w:val="24"/>
                <w:szCs w:val="24"/>
                <w:highlight w:val="none"/>
              </w:rPr>
              <w:t>18</w:t>
            </w:r>
            <w:r>
              <w:rPr>
                <w:rFonts w:hint="eastAsia" w:ascii="Times New Roman" w:hAnsi="Times New Roman" w:eastAsia="仿宋" w:cs="Times New Roman"/>
                <w:b w:val="0"/>
                <w:bCs w:val="0"/>
                <w:color w:val="auto"/>
                <w:spacing w:val="0"/>
                <w:w w:val="100"/>
                <w:position w:val="0"/>
                <w:sz w:val="24"/>
                <w:szCs w:val="24"/>
                <w:highlight w:val="none"/>
              </w:rPr>
              <w:t>分；每超过目标值5%</w:t>
            </w:r>
            <w:r>
              <w:rPr>
                <w:rFonts w:hint="eastAsia" w:ascii="Times New Roman" w:hAnsi="Times New Roman" w:eastAsia="仿宋" w:cs="Times New Roman"/>
                <w:b w:val="0"/>
                <w:bCs w:val="0"/>
                <w:color w:val="auto"/>
                <w:spacing w:val="0"/>
                <w:w w:val="100"/>
                <w:position w:val="0"/>
                <w:sz w:val="24"/>
                <w:szCs w:val="24"/>
                <w:highlight w:val="none"/>
                <w:lang w:eastAsia="zh-CN"/>
              </w:rPr>
              <w:t>，</w:t>
            </w:r>
            <w:r>
              <w:rPr>
                <w:rFonts w:hint="eastAsia" w:ascii="Times New Roman" w:hAnsi="Times New Roman" w:eastAsia="仿宋" w:cs="Times New Roman"/>
                <w:b w:val="0"/>
                <w:bCs w:val="0"/>
                <w:color w:val="auto"/>
                <w:spacing w:val="0"/>
                <w:w w:val="100"/>
                <w:position w:val="0"/>
                <w:sz w:val="24"/>
                <w:szCs w:val="24"/>
                <w:highlight w:val="none"/>
              </w:rPr>
              <w:t>加1分，最多加2分；每低于目标值5%</w:t>
            </w:r>
            <w:r>
              <w:rPr>
                <w:rFonts w:hint="eastAsia" w:ascii="Times New Roman" w:hAnsi="Times New Roman" w:eastAsia="仿宋" w:cs="Times New Roman"/>
                <w:b w:val="0"/>
                <w:bCs w:val="0"/>
                <w:color w:val="auto"/>
                <w:spacing w:val="0"/>
                <w:w w:val="100"/>
                <w:position w:val="0"/>
                <w:sz w:val="24"/>
                <w:szCs w:val="24"/>
                <w:highlight w:val="none"/>
                <w:lang w:eastAsia="zh-CN"/>
              </w:rPr>
              <w:t>，</w:t>
            </w:r>
            <w:r>
              <w:rPr>
                <w:rFonts w:hint="eastAsia" w:ascii="Times New Roman" w:hAnsi="Times New Roman" w:eastAsia="仿宋" w:cs="Times New Roman"/>
                <w:b w:val="0"/>
                <w:bCs w:val="0"/>
                <w:color w:val="auto"/>
                <w:spacing w:val="0"/>
                <w:w w:val="100"/>
                <w:position w:val="0"/>
                <w:sz w:val="24"/>
                <w:szCs w:val="24"/>
                <w:highlight w:val="none"/>
              </w:rPr>
              <w:t>扣基本分1分，最多扣18分。</w:t>
            </w:r>
          </w:p>
        </w:tc>
        <w:tc>
          <w:tcPr>
            <w:tcW w:w="662" w:type="dxa"/>
            <w:tcBorders>
              <w:top w:val="single" w:color="auto" w:sz="4" w:space="0"/>
              <w:left w:val="single" w:color="auto" w:sz="4" w:space="0"/>
              <w:right w:val="single" w:color="auto" w:sz="4" w:space="0"/>
            </w:tcBorders>
            <w:shd w:val="clear" w:color="auto" w:fill="FFFFFF"/>
            <w:vAlign w:val="top"/>
          </w:tcPr>
          <w:p>
            <w:pPr>
              <w:widowControl w:val="0"/>
              <w:rPr>
                <w:color w:val="auto"/>
                <w:sz w:val="10"/>
                <w:szCs w:val="10"/>
                <w:highlight w:val="none"/>
              </w:rPr>
            </w:pPr>
          </w:p>
        </w:tc>
      </w:tr>
      <w:tr>
        <w:tblPrEx>
          <w:tblLayout w:type="fixed"/>
          <w:tblCellMar>
            <w:top w:w="0" w:type="dxa"/>
            <w:left w:w="10" w:type="dxa"/>
            <w:bottom w:w="0" w:type="dxa"/>
            <w:right w:w="10" w:type="dxa"/>
          </w:tblCellMar>
        </w:tblPrEx>
        <w:trPr>
          <w:trHeight w:val="1465" w:hRule="exact"/>
          <w:jc w:val="center"/>
        </w:trPr>
        <w:tc>
          <w:tcPr>
            <w:tcW w:w="754"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300"/>
              <w:jc w:val="left"/>
              <w:rPr>
                <w:color w:val="auto"/>
                <w:sz w:val="22"/>
                <w:szCs w:val="22"/>
                <w:highlight w:val="none"/>
              </w:rPr>
            </w:pPr>
            <w:r>
              <w:rPr>
                <w:rFonts w:ascii="Times New Roman" w:hAnsi="Times New Roman" w:eastAsia="Times New Roman" w:cs="Times New Roman"/>
                <w:color w:val="auto"/>
                <w:spacing w:val="0"/>
                <w:w w:val="100"/>
                <w:position w:val="0"/>
                <w:sz w:val="22"/>
                <w:szCs w:val="22"/>
                <w:highlight w:val="none"/>
              </w:rPr>
              <w:t>2</w:t>
            </w:r>
          </w:p>
        </w:tc>
        <w:tc>
          <w:tcPr>
            <w:tcW w:w="1531"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98"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国有资本保值增值率</w:t>
            </w:r>
          </w:p>
        </w:tc>
        <w:tc>
          <w:tcPr>
            <w:tcW w:w="1056"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color w:val="auto"/>
                <w:sz w:val="22"/>
                <w:szCs w:val="22"/>
                <w:highlight w:val="none"/>
              </w:rPr>
            </w:pPr>
            <w:r>
              <w:rPr>
                <w:rFonts w:ascii="Times New Roman" w:hAnsi="Times New Roman" w:eastAsia="Times New Roman" w:cs="Times New Roman"/>
                <w:color w:val="auto"/>
                <w:spacing w:val="0"/>
                <w:w w:val="100"/>
                <w:position w:val="0"/>
                <w:sz w:val="22"/>
                <w:szCs w:val="22"/>
                <w:highlight w:val="none"/>
              </w:rPr>
              <w:t>20</w:t>
            </w:r>
          </w:p>
        </w:tc>
        <w:tc>
          <w:tcPr>
            <w:tcW w:w="839" w:type="dxa"/>
            <w:tcBorders>
              <w:top w:val="single" w:color="auto" w:sz="4" w:space="0"/>
              <w:left w:val="single" w:color="auto" w:sz="4" w:space="0"/>
            </w:tcBorders>
            <w:shd w:val="clear" w:color="auto" w:fill="FFFFFF"/>
            <w:vAlign w:val="top"/>
          </w:tcPr>
          <w:p>
            <w:pPr>
              <w:widowControl w:val="0"/>
              <w:rPr>
                <w:color w:val="auto"/>
                <w:sz w:val="10"/>
                <w:szCs w:val="10"/>
                <w:highlight w:val="none"/>
              </w:rPr>
            </w:pPr>
          </w:p>
        </w:tc>
        <w:tc>
          <w:tcPr>
            <w:tcW w:w="3913"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307" w:lineRule="exact"/>
              <w:ind w:left="0" w:right="0" w:firstLine="0"/>
              <w:jc w:val="both"/>
              <w:rPr>
                <w:rFonts w:hint="eastAsia" w:ascii="Times New Roman" w:hAnsi="Times New Roman" w:eastAsia="仿宋" w:cs="Times New Roman"/>
                <w:b w:val="0"/>
                <w:bCs w:val="0"/>
                <w:color w:val="auto"/>
                <w:spacing w:val="0"/>
                <w:w w:val="100"/>
                <w:position w:val="0"/>
                <w:sz w:val="24"/>
                <w:szCs w:val="24"/>
                <w:highlight w:val="none"/>
                <w:lang w:eastAsia="zh-CN"/>
              </w:rPr>
            </w:pPr>
            <w:r>
              <w:rPr>
                <w:rFonts w:hint="eastAsia" w:ascii="Times New Roman" w:hAnsi="Times New Roman" w:eastAsia="仿宋" w:cs="Times New Roman"/>
                <w:b w:val="0"/>
                <w:bCs w:val="0"/>
                <w:color w:val="auto"/>
                <w:spacing w:val="0"/>
                <w:w w:val="100"/>
                <w:position w:val="0"/>
                <w:sz w:val="24"/>
                <w:szCs w:val="24"/>
                <w:highlight w:val="none"/>
              </w:rPr>
              <w:t>完成目标值，得基本分18分；每超过目标值</w:t>
            </w:r>
            <w:r>
              <w:rPr>
                <w:rFonts w:hint="eastAsia" w:ascii="Times New Roman" w:hAnsi="Times New Roman" w:eastAsia="仿宋" w:cs="Times New Roman"/>
                <w:b w:val="0"/>
                <w:bCs w:val="0"/>
                <w:color w:val="auto"/>
                <w:spacing w:val="0"/>
                <w:w w:val="100"/>
                <w:position w:val="0"/>
                <w:sz w:val="24"/>
                <w:szCs w:val="24"/>
                <w:highlight w:val="none"/>
                <w:lang w:val="en-US" w:eastAsia="en-US"/>
              </w:rPr>
              <w:t>0.1</w:t>
            </w:r>
            <w:r>
              <w:rPr>
                <w:rFonts w:hint="eastAsia" w:ascii="Times New Roman" w:hAnsi="Times New Roman" w:eastAsia="仿宋" w:cs="Times New Roman"/>
                <w:b w:val="0"/>
                <w:bCs w:val="0"/>
                <w:color w:val="auto"/>
                <w:spacing w:val="0"/>
                <w:w w:val="100"/>
                <w:position w:val="0"/>
                <w:sz w:val="24"/>
                <w:szCs w:val="24"/>
                <w:highlight w:val="none"/>
              </w:rPr>
              <w:t>个百分点，加</w:t>
            </w:r>
            <w:r>
              <w:rPr>
                <w:rFonts w:hint="eastAsia" w:ascii="Times New Roman" w:hAnsi="Times New Roman" w:eastAsia="仿宋" w:cs="Times New Roman"/>
                <w:b w:val="0"/>
                <w:bCs w:val="0"/>
                <w:color w:val="auto"/>
                <w:spacing w:val="0"/>
                <w:w w:val="100"/>
                <w:position w:val="0"/>
                <w:sz w:val="24"/>
                <w:szCs w:val="24"/>
                <w:highlight w:val="none"/>
                <w:lang w:val="en-US" w:eastAsia="en-US"/>
              </w:rPr>
              <w:t>0.5</w:t>
            </w:r>
            <w:r>
              <w:rPr>
                <w:rFonts w:hint="eastAsia" w:ascii="Times New Roman" w:hAnsi="Times New Roman" w:eastAsia="仿宋" w:cs="Times New Roman"/>
                <w:b w:val="0"/>
                <w:bCs w:val="0"/>
                <w:color w:val="auto"/>
                <w:spacing w:val="0"/>
                <w:w w:val="100"/>
                <w:position w:val="0"/>
                <w:sz w:val="24"/>
                <w:szCs w:val="24"/>
                <w:highlight w:val="none"/>
              </w:rPr>
              <w:t>分，最多加2分；每低于目标值</w:t>
            </w:r>
            <w:r>
              <w:rPr>
                <w:rFonts w:hint="eastAsia" w:ascii="Times New Roman" w:hAnsi="Times New Roman" w:eastAsia="仿宋" w:cs="Times New Roman"/>
                <w:b w:val="0"/>
                <w:bCs w:val="0"/>
                <w:color w:val="auto"/>
                <w:spacing w:val="0"/>
                <w:w w:val="100"/>
                <w:position w:val="0"/>
                <w:sz w:val="24"/>
                <w:szCs w:val="24"/>
                <w:highlight w:val="none"/>
                <w:lang w:val="en-US" w:eastAsia="en-US"/>
              </w:rPr>
              <w:t>0.1</w:t>
            </w:r>
            <w:r>
              <w:rPr>
                <w:rFonts w:hint="eastAsia" w:ascii="Times New Roman" w:hAnsi="Times New Roman" w:eastAsia="仿宋" w:cs="Times New Roman"/>
                <w:b w:val="0"/>
                <w:bCs w:val="0"/>
                <w:color w:val="auto"/>
                <w:spacing w:val="0"/>
                <w:w w:val="100"/>
                <w:position w:val="0"/>
                <w:sz w:val="24"/>
                <w:szCs w:val="24"/>
                <w:highlight w:val="none"/>
              </w:rPr>
              <w:t>个百分点，扣基本分</w:t>
            </w:r>
            <w:r>
              <w:rPr>
                <w:rFonts w:hint="eastAsia" w:ascii="Times New Roman" w:hAnsi="Times New Roman" w:eastAsia="仿宋" w:cs="Times New Roman"/>
                <w:b w:val="0"/>
                <w:bCs w:val="0"/>
                <w:color w:val="auto"/>
                <w:spacing w:val="0"/>
                <w:w w:val="100"/>
                <w:position w:val="0"/>
                <w:sz w:val="24"/>
                <w:szCs w:val="24"/>
                <w:highlight w:val="none"/>
                <w:lang w:val="en-US" w:eastAsia="en-US"/>
              </w:rPr>
              <w:t>0.5</w:t>
            </w:r>
            <w:r>
              <w:rPr>
                <w:rFonts w:hint="eastAsia" w:ascii="Times New Roman" w:hAnsi="Times New Roman" w:eastAsia="仿宋" w:cs="Times New Roman"/>
                <w:b w:val="0"/>
                <w:bCs w:val="0"/>
                <w:color w:val="auto"/>
                <w:spacing w:val="0"/>
                <w:w w:val="100"/>
                <w:position w:val="0"/>
                <w:sz w:val="24"/>
                <w:szCs w:val="24"/>
                <w:highlight w:val="none"/>
              </w:rPr>
              <w:t>分,最多扣18分</w:t>
            </w:r>
            <w:r>
              <w:rPr>
                <w:rFonts w:hint="eastAsia" w:ascii="Times New Roman" w:hAnsi="Times New Roman" w:eastAsia="仿宋" w:cs="Times New Roman"/>
                <w:b w:val="0"/>
                <w:bCs w:val="0"/>
                <w:color w:val="auto"/>
                <w:spacing w:val="0"/>
                <w:w w:val="100"/>
                <w:position w:val="0"/>
                <w:sz w:val="24"/>
                <w:szCs w:val="24"/>
                <w:highlight w:val="none"/>
                <w:lang w:eastAsia="zh-CN"/>
              </w:rPr>
              <w:t>。</w:t>
            </w:r>
          </w:p>
        </w:tc>
        <w:tc>
          <w:tcPr>
            <w:tcW w:w="662" w:type="dxa"/>
            <w:tcBorders>
              <w:top w:val="single" w:color="auto" w:sz="4" w:space="0"/>
              <w:left w:val="single" w:color="auto" w:sz="4" w:space="0"/>
              <w:right w:val="single" w:color="auto" w:sz="4" w:space="0"/>
            </w:tcBorders>
            <w:shd w:val="clear" w:color="auto" w:fill="FFFFFF"/>
            <w:vAlign w:val="top"/>
          </w:tcPr>
          <w:p>
            <w:pPr>
              <w:widowControl w:val="0"/>
              <w:rPr>
                <w:color w:val="auto"/>
                <w:sz w:val="10"/>
                <w:szCs w:val="10"/>
                <w:highlight w:val="none"/>
              </w:rPr>
            </w:pPr>
          </w:p>
        </w:tc>
      </w:tr>
      <w:tr>
        <w:tblPrEx>
          <w:tblLayout w:type="fixed"/>
          <w:tblCellMar>
            <w:top w:w="0" w:type="dxa"/>
            <w:left w:w="10" w:type="dxa"/>
            <w:bottom w:w="0" w:type="dxa"/>
            <w:right w:w="10" w:type="dxa"/>
          </w:tblCellMar>
        </w:tblPrEx>
        <w:trPr>
          <w:trHeight w:val="1313" w:hRule="exact"/>
          <w:jc w:val="center"/>
        </w:trPr>
        <w:tc>
          <w:tcPr>
            <w:tcW w:w="754"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300"/>
              <w:jc w:val="left"/>
              <w:rPr>
                <w:color w:val="auto"/>
                <w:sz w:val="22"/>
                <w:szCs w:val="22"/>
                <w:highlight w:val="none"/>
              </w:rPr>
            </w:pPr>
            <w:r>
              <w:rPr>
                <w:rFonts w:ascii="Times New Roman" w:hAnsi="Times New Roman" w:eastAsia="Times New Roman" w:cs="Times New Roman"/>
                <w:color w:val="auto"/>
                <w:spacing w:val="0"/>
                <w:w w:val="100"/>
                <w:position w:val="0"/>
                <w:sz w:val="22"/>
                <w:szCs w:val="22"/>
                <w:highlight w:val="none"/>
              </w:rPr>
              <w:t>3</w:t>
            </w:r>
          </w:p>
        </w:tc>
        <w:tc>
          <w:tcPr>
            <w:tcW w:w="1531"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302"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现金利息保障倍数</w:t>
            </w:r>
          </w:p>
        </w:tc>
        <w:tc>
          <w:tcPr>
            <w:tcW w:w="1056"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360"/>
              <w:jc w:val="left"/>
              <w:rPr>
                <w:color w:val="auto"/>
                <w:sz w:val="24"/>
                <w:szCs w:val="24"/>
                <w:highlight w:val="none"/>
              </w:rPr>
            </w:pPr>
            <w:r>
              <w:rPr>
                <w:rFonts w:ascii="Times New Roman" w:hAnsi="Times New Roman" w:eastAsia="Times New Roman" w:cs="Times New Roman"/>
                <w:color w:val="auto"/>
                <w:spacing w:val="0"/>
                <w:w w:val="100"/>
                <w:position w:val="0"/>
                <w:sz w:val="24"/>
                <w:szCs w:val="24"/>
                <w:highlight w:val="none"/>
              </w:rPr>
              <w:t>20</w:t>
            </w:r>
          </w:p>
        </w:tc>
        <w:tc>
          <w:tcPr>
            <w:tcW w:w="839" w:type="dxa"/>
            <w:tcBorders>
              <w:top w:val="single" w:color="auto" w:sz="4" w:space="0"/>
              <w:left w:val="single" w:color="auto" w:sz="4" w:space="0"/>
              <w:bottom w:val="single" w:color="auto" w:sz="4" w:space="0"/>
            </w:tcBorders>
            <w:shd w:val="clear" w:color="auto" w:fill="FFFFFF"/>
            <w:vAlign w:val="top"/>
          </w:tcPr>
          <w:p>
            <w:pPr>
              <w:widowControl w:val="0"/>
              <w:rPr>
                <w:color w:val="auto"/>
                <w:sz w:val="10"/>
                <w:szCs w:val="10"/>
                <w:highlight w:val="none"/>
              </w:rPr>
            </w:pPr>
          </w:p>
        </w:tc>
        <w:tc>
          <w:tcPr>
            <w:tcW w:w="3913" w:type="dxa"/>
            <w:tcBorders>
              <w:top w:val="single" w:color="auto" w:sz="4" w:space="0"/>
              <w:left w:val="single" w:color="auto" w:sz="4" w:space="0"/>
              <w:bottom w:val="single" w:color="auto" w:sz="4" w:space="0"/>
            </w:tcBorders>
            <w:shd w:val="clear" w:color="auto" w:fill="FFFFFF"/>
            <w:vAlign w:val="bottom"/>
          </w:tcPr>
          <w:p>
            <w:pPr>
              <w:pStyle w:val="14"/>
              <w:keepNext w:val="0"/>
              <w:keepLines w:val="0"/>
              <w:widowControl w:val="0"/>
              <w:shd w:val="clear" w:color="auto" w:fill="auto"/>
              <w:bidi w:val="0"/>
              <w:spacing w:before="0" w:after="0" w:line="307" w:lineRule="exact"/>
              <w:ind w:left="0" w:right="0" w:firstLine="0"/>
              <w:jc w:val="both"/>
              <w:rPr>
                <w:rFonts w:hint="eastAsia" w:ascii="Times New Roman" w:hAnsi="Times New Roman" w:eastAsia="仿宋" w:cs="Times New Roman"/>
                <w:b w:val="0"/>
                <w:bCs w:val="0"/>
                <w:color w:val="auto"/>
                <w:spacing w:val="0"/>
                <w:w w:val="100"/>
                <w:position w:val="0"/>
                <w:sz w:val="24"/>
                <w:szCs w:val="24"/>
                <w:highlight w:val="none"/>
              </w:rPr>
            </w:pPr>
            <w:r>
              <w:rPr>
                <w:rFonts w:hint="eastAsia" w:ascii="Times New Roman" w:hAnsi="Times New Roman" w:eastAsia="仿宋" w:cs="Times New Roman"/>
                <w:b w:val="0"/>
                <w:bCs w:val="0"/>
                <w:color w:val="auto"/>
                <w:spacing w:val="0"/>
                <w:w w:val="100"/>
                <w:position w:val="0"/>
                <w:sz w:val="24"/>
                <w:szCs w:val="24"/>
                <w:highlight w:val="none"/>
              </w:rPr>
              <w:t>完成目标值，得基本分18分；每超过目标值5%,加</w:t>
            </w:r>
            <w:r>
              <w:rPr>
                <w:rFonts w:hint="eastAsia" w:ascii="Times New Roman" w:hAnsi="Times New Roman" w:eastAsia="仿宋" w:cs="Times New Roman"/>
                <w:b w:val="0"/>
                <w:bCs w:val="0"/>
                <w:color w:val="auto"/>
                <w:spacing w:val="0"/>
                <w:w w:val="100"/>
                <w:position w:val="0"/>
                <w:sz w:val="24"/>
                <w:szCs w:val="24"/>
                <w:highlight w:val="none"/>
                <w:lang w:val="en-US" w:eastAsia="en-US"/>
              </w:rPr>
              <w:t>0.5</w:t>
            </w:r>
            <w:r>
              <w:rPr>
                <w:rFonts w:hint="eastAsia" w:ascii="Times New Roman" w:hAnsi="Times New Roman" w:eastAsia="仿宋" w:cs="Times New Roman"/>
                <w:b w:val="0"/>
                <w:bCs w:val="0"/>
                <w:color w:val="auto"/>
                <w:spacing w:val="0"/>
                <w:w w:val="100"/>
                <w:position w:val="0"/>
                <w:sz w:val="24"/>
                <w:szCs w:val="24"/>
                <w:highlight w:val="none"/>
              </w:rPr>
              <w:t>分，最多加2分；每低于目标值5%,扣基本分</w:t>
            </w:r>
            <w:r>
              <w:rPr>
                <w:rFonts w:hint="eastAsia" w:ascii="Times New Roman" w:hAnsi="Times New Roman" w:eastAsia="仿宋" w:cs="Times New Roman"/>
                <w:b w:val="0"/>
                <w:bCs w:val="0"/>
                <w:color w:val="auto"/>
                <w:spacing w:val="0"/>
                <w:w w:val="100"/>
                <w:position w:val="0"/>
                <w:sz w:val="24"/>
                <w:szCs w:val="24"/>
                <w:highlight w:val="none"/>
                <w:lang w:val="en-US" w:eastAsia="en-US"/>
              </w:rPr>
              <w:t>0.5</w:t>
            </w:r>
            <w:r>
              <w:rPr>
                <w:rFonts w:hint="eastAsia" w:ascii="Times New Roman" w:hAnsi="Times New Roman" w:eastAsia="仿宋" w:cs="Times New Roman"/>
                <w:b w:val="0"/>
                <w:bCs w:val="0"/>
                <w:color w:val="auto"/>
                <w:spacing w:val="0"/>
                <w:w w:val="100"/>
                <w:position w:val="0"/>
                <w:sz w:val="24"/>
                <w:szCs w:val="24"/>
                <w:highlight w:val="none"/>
              </w:rPr>
              <w:t>分，最多扣18分。</w:t>
            </w:r>
          </w:p>
        </w:tc>
        <w:tc>
          <w:tcPr>
            <w:tcW w:w="662"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color w:val="auto"/>
                <w:sz w:val="10"/>
                <w:szCs w:val="10"/>
                <w:highlight w:val="none"/>
              </w:rPr>
            </w:pPr>
          </w:p>
        </w:tc>
      </w:tr>
    </w:tbl>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“一企一策”确定质量效益指标为：利润总额、国有资本保值增值率、现金利息保障倍数等指标，质量效益指标分值权重占比</w:t>
      </w:r>
      <w:r>
        <w:rPr>
          <w:rFonts w:hint="default" w:ascii="Times New Roman" w:hAnsi="Times New Roman" w:eastAsia="仿宋" w:cs="Times New Roman"/>
          <w:color w:val="auto"/>
          <w:sz w:val="32"/>
          <w:szCs w:val="32"/>
          <w:highlight w:val="none"/>
          <w:lang w:val="en-US" w:eastAsia="zh-CN"/>
        </w:rPr>
        <w:t>60%</w:t>
      </w:r>
      <w:r>
        <w:rPr>
          <w:rFonts w:hint="eastAsia" w:ascii="仿宋" w:hAnsi="仿宋" w:eastAsia="仿宋" w:cs="仿宋"/>
          <w:color w:val="auto"/>
          <w:sz w:val="32"/>
          <w:szCs w:val="32"/>
          <w:highlight w:val="none"/>
          <w:lang w:val="en-US" w:eastAsia="zh-CN"/>
        </w:rPr>
        <w:t>,各具体考核分值由履行出资人职责部门确定。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2.短板指标改善评价细则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结合区城乡建设投资（集团）有限公司实际，“一企一策”确定“净资产收益率、营业收入”等项短板指标，短板指标分值权重占比20%。短板指标改善评分以上年度完成值为基准值，较上年度有改善的按改善程度得分，未改善视低于目标值比例扣分，各年度具体指标、权重和计分细则由履行出资人职责部门确定。</w:t>
      </w:r>
    </w:p>
    <w:tbl>
      <w:tblPr>
        <w:tblStyle w:val="8"/>
        <w:tblW w:w="8326" w:type="dxa"/>
        <w:jc w:val="center"/>
        <w:tblInd w:w="0" w:type="dxa"/>
        <w:tblLayout w:type="fixed"/>
        <w:tblCellMar>
          <w:top w:w="0" w:type="dxa"/>
          <w:left w:w="10" w:type="dxa"/>
          <w:bottom w:w="0" w:type="dxa"/>
          <w:right w:w="10" w:type="dxa"/>
        </w:tblCellMar>
      </w:tblPr>
      <w:tblGrid>
        <w:gridCol w:w="597"/>
        <w:gridCol w:w="607"/>
        <w:gridCol w:w="1016"/>
        <w:gridCol w:w="573"/>
        <w:gridCol w:w="4622"/>
        <w:gridCol w:w="911"/>
      </w:tblGrid>
      <w:tr>
        <w:tblPrEx>
          <w:tblLayout w:type="fixed"/>
          <w:tblCellMar>
            <w:top w:w="0" w:type="dxa"/>
            <w:left w:w="10" w:type="dxa"/>
            <w:bottom w:w="0" w:type="dxa"/>
            <w:right w:w="10" w:type="dxa"/>
          </w:tblCellMar>
        </w:tblPrEx>
        <w:trPr>
          <w:trHeight w:val="638" w:hRule="exact"/>
          <w:jc w:val="center"/>
        </w:trPr>
        <w:tc>
          <w:tcPr>
            <w:tcW w:w="597"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leftChars="0" w:right="0" w:firstLine="0" w:firstLineChars="0"/>
              <w:jc w:val="left"/>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序号</w:t>
            </w:r>
          </w:p>
        </w:tc>
        <w:tc>
          <w:tcPr>
            <w:tcW w:w="607"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307" w:lineRule="exact"/>
              <w:ind w:left="0" w:right="0" w:firstLine="0"/>
              <w:jc w:val="both"/>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补短板指标</w:t>
            </w:r>
          </w:p>
        </w:tc>
        <w:tc>
          <w:tcPr>
            <w:tcW w:w="1016"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40" w:line="240" w:lineRule="auto"/>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分值</w:t>
            </w:r>
          </w:p>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（20分）</w:t>
            </w:r>
          </w:p>
        </w:tc>
        <w:tc>
          <w:tcPr>
            <w:tcW w:w="573"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160"/>
              <w:jc w:val="left"/>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目标值</w:t>
            </w:r>
          </w:p>
        </w:tc>
        <w:tc>
          <w:tcPr>
            <w:tcW w:w="4622"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考核计分标准</w:t>
            </w:r>
          </w:p>
        </w:tc>
        <w:tc>
          <w:tcPr>
            <w:tcW w:w="911" w:type="dxa"/>
            <w:tcBorders>
              <w:top w:val="single" w:color="auto" w:sz="4" w:space="0"/>
              <w:left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计分</w:t>
            </w:r>
          </w:p>
        </w:tc>
      </w:tr>
      <w:tr>
        <w:tblPrEx>
          <w:tblLayout w:type="fixed"/>
          <w:tblCellMar>
            <w:top w:w="0" w:type="dxa"/>
            <w:left w:w="10" w:type="dxa"/>
            <w:bottom w:w="0" w:type="dxa"/>
            <w:right w:w="10" w:type="dxa"/>
          </w:tblCellMar>
        </w:tblPrEx>
        <w:trPr>
          <w:trHeight w:val="1186" w:hRule="exact"/>
          <w:jc w:val="center"/>
        </w:trPr>
        <w:tc>
          <w:tcPr>
            <w:tcW w:w="597"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color w:val="auto"/>
                <w:sz w:val="24"/>
                <w:szCs w:val="24"/>
                <w:highlight w:val="none"/>
              </w:rPr>
            </w:pPr>
            <w:r>
              <w:rPr>
                <w:rFonts w:ascii="Times New Roman" w:hAnsi="Times New Roman" w:eastAsia="Times New Roman" w:cs="Times New Roman"/>
                <w:color w:val="auto"/>
                <w:spacing w:val="0"/>
                <w:w w:val="100"/>
                <w:position w:val="0"/>
                <w:sz w:val="24"/>
                <w:szCs w:val="24"/>
                <w:highlight w:val="none"/>
              </w:rPr>
              <w:t>1</w:t>
            </w:r>
          </w:p>
        </w:tc>
        <w:tc>
          <w:tcPr>
            <w:tcW w:w="607"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89"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净资产收益率</w:t>
            </w:r>
          </w:p>
        </w:tc>
        <w:tc>
          <w:tcPr>
            <w:tcW w:w="1016"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10</w:t>
            </w:r>
          </w:p>
        </w:tc>
        <w:tc>
          <w:tcPr>
            <w:tcW w:w="573" w:type="dxa"/>
            <w:tcBorders>
              <w:top w:val="single" w:color="auto" w:sz="4" w:space="0"/>
              <w:left w:val="single" w:color="auto" w:sz="4" w:space="0"/>
            </w:tcBorders>
            <w:shd w:val="clear" w:color="auto" w:fill="FFFFFF"/>
            <w:vAlign w:val="top"/>
          </w:tcPr>
          <w:p>
            <w:pPr>
              <w:widowControl w:val="0"/>
              <w:jc w:val="both"/>
              <w:rPr>
                <w:rFonts w:hint="eastAsia" w:ascii="仿宋" w:hAnsi="仿宋" w:eastAsia="仿宋" w:cs="仿宋"/>
                <w:color w:val="auto"/>
                <w:sz w:val="24"/>
                <w:szCs w:val="24"/>
                <w:highlight w:val="none"/>
              </w:rPr>
            </w:pPr>
          </w:p>
        </w:tc>
        <w:tc>
          <w:tcPr>
            <w:tcW w:w="4622"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69" w:lineRule="exact"/>
              <w:ind w:left="0" w:right="0" w:firstLine="0"/>
              <w:jc w:val="both"/>
              <w:rPr>
                <w:rFonts w:hint="eastAsia" w:ascii="Times New Roman" w:hAnsi="Times New Roman" w:eastAsia="仿宋" w:cs="Times New Roman"/>
                <w:b w:val="0"/>
                <w:bCs w:val="0"/>
                <w:color w:val="auto"/>
                <w:spacing w:val="0"/>
                <w:w w:val="100"/>
                <w:position w:val="0"/>
                <w:sz w:val="24"/>
                <w:szCs w:val="24"/>
                <w:highlight w:val="none"/>
              </w:rPr>
            </w:pPr>
            <w:r>
              <w:rPr>
                <w:rFonts w:hint="eastAsia" w:ascii="Times New Roman" w:hAnsi="Times New Roman" w:eastAsia="仿宋" w:cs="Times New Roman"/>
                <w:b w:val="0"/>
                <w:bCs w:val="0"/>
                <w:color w:val="auto"/>
                <w:spacing w:val="0"/>
                <w:w w:val="100"/>
                <w:position w:val="0"/>
                <w:sz w:val="24"/>
                <w:szCs w:val="24"/>
                <w:highlight w:val="none"/>
              </w:rPr>
              <w:t>完成目标值，得基本分</w:t>
            </w:r>
            <w:r>
              <w:rPr>
                <w:rFonts w:hint="default" w:ascii="Times New Roman" w:hAnsi="Times New Roman" w:eastAsia="仿宋" w:cs="Times New Roman"/>
                <w:b w:val="0"/>
                <w:bCs w:val="0"/>
                <w:color w:val="auto"/>
                <w:spacing w:val="0"/>
                <w:w w:val="100"/>
                <w:position w:val="0"/>
                <w:sz w:val="24"/>
                <w:szCs w:val="24"/>
                <w:highlight w:val="none"/>
              </w:rPr>
              <w:t>9</w:t>
            </w:r>
            <w:r>
              <w:rPr>
                <w:rFonts w:hint="eastAsia" w:ascii="Times New Roman" w:hAnsi="Times New Roman" w:eastAsia="仿宋" w:cs="Times New Roman"/>
                <w:b w:val="0"/>
                <w:bCs w:val="0"/>
                <w:color w:val="auto"/>
                <w:spacing w:val="0"/>
                <w:w w:val="100"/>
                <w:position w:val="0"/>
                <w:sz w:val="24"/>
                <w:szCs w:val="24"/>
                <w:highlight w:val="none"/>
              </w:rPr>
              <w:t>分；每超过目标值</w:t>
            </w:r>
            <w:r>
              <w:rPr>
                <w:rFonts w:hint="eastAsia" w:ascii="Times New Roman" w:hAnsi="Times New Roman" w:eastAsia="仿宋" w:cs="Times New Roman"/>
                <w:b w:val="0"/>
                <w:bCs w:val="0"/>
                <w:color w:val="auto"/>
                <w:spacing w:val="0"/>
                <w:w w:val="100"/>
                <w:position w:val="0"/>
                <w:sz w:val="24"/>
                <w:szCs w:val="24"/>
                <w:highlight w:val="none"/>
                <w:lang w:val="en-US" w:eastAsia="en-US"/>
              </w:rPr>
              <w:t>0.2</w:t>
            </w:r>
            <w:r>
              <w:rPr>
                <w:rFonts w:hint="eastAsia" w:ascii="Times New Roman" w:hAnsi="Times New Roman" w:eastAsia="仿宋" w:cs="Times New Roman"/>
                <w:b w:val="0"/>
                <w:bCs w:val="0"/>
                <w:color w:val="auto"/>
                <w:spacing w:val="0"/>
                <w:w w:val="100"/>
                <w:position w:val="0"/>
                <w:sz w:val="24"/>
                <w:szCs w:val="24"/>
                <w:highlight w:val="none"/>
              </w:rPr>
              <w:t>个百分点，加</w:t>
            </w:r>
            <w:r>
              <w:rPr>
                <w:rFonts w:hint="eastAsia" w:ascii="Times New Roman" w:hAnsi="Times New Roman" w:eastAsia="仿宋" w:cs="Times New Roman"/>
                <w:b w:val="0"/>
                <w:bCs w:val="0"/>
                <w:color w:val="auto"/>
                <w:spacing w:val="0"/>
                <w:w w:val="100"/>
                <w:position w:val="0"/>
                <w:sz w:val="24"/>
                <w:szCs w:val="24"/>
                <w:highlight w:val="none"/>
                <w:lang w:val="en-US" w:eastAsia="en-US"/>
              </w:rPr>
              <w:t>0.5</w:t>
            </w:r>
            <w:r>
              <w:rPr>
                <w:rFonts w:hint="eastAsia" w:ascii="Times New Roman" w:hAnsi="Times New Roman" w:eastAsia="仿宋" w:cs="Times New Roman"/>
                <w:b w:val="0"/>
                <w:bCs w:val="0"/>
                <w:color w:val="auto"/>
                <w:spacing w:val="0"/>
                <w:w w:val="100"/>
                <w:position w:val="0"/>
                <w:sz w:val="24"/>
                <w:szCs w:val="24"/>
                <w:highlight w:val="none"/>
              </w:rPr>
              <w:t>分，最多加1分；每低于目标值</w:t>
            </w:r>
            <w:r>
              <w:rPr>
                <w:rFonts w:hint="eastAsia" w:ascii="Times New Roman" w:hAnsi="Times New Roman" w:eastAsia="仿宋" w:cs="Times New Roman"/>
                <w:b w:val="0"/>
                <w:bCs w:val="0"/>
                <w:color w:val="auto"/>
                <w:spacing w:val="0"/>
                <w:w w:val="100"/>
                <w:position w:val="0"/>
                <w:sz w:val="24"/>
                <w:szCs w:val="24"/>
                <w:highlight w:val="none"/>
                <w:lang w:val="en-US" w:eastAsia="en-US"/>
              </w:rPr>
              <w:t>0.2</w:t>
            </w:r>
            <w:r>
              <w:rPr>
                <w:rFonts w:hint="eastAsia" w:ascii="Times New Roman" w:hAnsi="Times New Roman" w:eastAsia="仿宋" w:cs="Times New Roman"/>
                <w:b w:val="0"/>
                <w:bCs w:val="0"/>
                <w:color w:val="auto"/>
                <w:spacing w:val="0"/>
                <w:w w:val="100"/>
                <w:position w:val="0"/>
                <w:sz w:val="24"/>
                <w:szCs w:val="24"/>
                <w:highlight w:val="none"/>
              </w:rPr>
              <w:t>个百分点，扣基本分</w:t>
            </w:r>
            <w:r>
              <w:rPr>
                <w:rFonts w:hint="eastAsia" w:ascii="Times New Roman" w:hAnsi="Times New Roman" w:eastAsia="仿宋" w:cs="Times New Roman"/>
                <w:b w:val="0"/>
                <w:bCs w:val="0"/>
                <w:color w:val="auto"/>
                <w:spacing w:val="0"/>
                <w:w w:val="100"/>
                <w:position w:val="0"/>
                <w:sz w:val="24"/>
                <w:szCs w:val="24"/>
                <w:highlight w:val="none"/>
                <w:lang w:val="en-US" w:eastAsia="en-US"/>
              </w:rPr>
              <w:t>0.5</w:t>
            </w:r>
            <w:r>
              <w:rPr>
                <w:rFonts w:hint="eastAsia" w:ascii="Times New Roman" w:hAnsi="Times New Roman" w:eastAsia="仿宋" w:cs="Times New Roman"/>
                <w:b w:val="0"/>
                <w:bCs w:val="0"/>
                <w:color w:val="auto"/>
                <w:spacing w:val="0"/>
                <w:w w:val="100"/>
                <w:position w:val="0"/>
                <w:sz w:val="24"/>
                <w:szCs w:val="24"/>
                <w:highlight w:val="none"/>
              </w:rPr>
              <w:t>分，最多扣9分。</w:t>
            </w:r>
          </w:p>
        </w:tc>
        <w:tc>
          <w:tcPr>
            <w:tcW w:w="911" w:type="dxa"/>
            <w:tcBorders>
              <w:top w:val="single" w:color="auto" w:sz="4" w:space="0"/>
              <w:left w:val="single" w:color="auto" w:sz="4" w:space="0"/>
              <w:right w:val="single" w:color="auto" w:sz="4" w:space="0"/>
            </w:tcBorders>
            <w:shd w:val="clear" w:color="auto" w:fill="FFFFFF"/>
            <w:vAlign w:val="top"/>
          </w:tcPr>
          <w:p>
            <w:pPr>
              <w:widowControl w:val="0"/>
              <w:rPr>
                <w:color w:val="auto"/>
                <w:sz w:val="24"/>
                <w:szCs w:val="24"/>
                <w:highlight w:val="none"/>
              </w:rPr>
            </w:pPr>
          </w:p>
        </w:tc>
      </w:tr>
      <w:tr>
        <w:tblPrEx>
          <w:tblLayout w:type="fixed"/>
          <w:tblCellMar>
            <w:top w:w="0" w:type="dxa"/>
            <w:left w:w="10" w:type="dxa"/>
            <w:bottom w:w="0" w:type="dxa"/>
            <w:right w:w="10" w:type="dxa"/>
          </w:tblCellMar>
        </w:tblPrEx>
        <w:trPr>
          <w:trHeight w:val="892" w:hRule="exact"/>
          <w:jc w:val="center"/>
        </w:trPr>
        <w:tc>
          <w:tcPr>
            <w:tcW w:w="597"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color w:val="auto"/>
                <w:sz w:val="24"/>
                <w:szCs w:val="24"/>
                <w:highlight w:val="none"/>
              </w:rPr>
            </w:pPr>
            <w:r>
              <w:rPr>
                <w:rFonts w:ascii="Times New Roman" w:hAnsi="Times New Roman" w:eastAsia="Times New Roman" w:cs="Times New Roman"/>
                <w:color w:val="auto"/>
                <w:spacing w:val="0"/>
                <w:w w:val="100"/>
                <w:position w:val="0"/>
                <w:sz w:val="24"/>
                <w:szCs w:val="24"/>
                <w:highlight w:val="none"/>
              </w:rPr>
              <w:t>2</w:t>
            </w:r>
          </w:p>
        </w:tc>
        <w:tc>
          <w:tcPr>
            <w:tcW w:w="607"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营业收入</w:t>
            </w:r>
          </w:p>
        </w:tc>
        <w:tc>
          <w:tcPr>
            <w:tcW w:w="1016"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10</w:t>
            </w:r>
          </w:p>
        </w:tc>
        <w:tc>
          <w:tcPr>
            <w:tcW w:w="573" w:type="dxa"/>
            <w:tcBorders>
              <w:top w:val="single" w:color="auto" w:sz="4" w:space="0"/>
              <w:left w:val="single" w:color="auto" w:sz="4" w:space="0"/>
              <w:bottom w:val="single" w:color="auto" w:sz="4" w:space="0"/>
            </w:tcBorders>
            <w:shd w:val="clear" w:color="auto" w:fill="FFFFFF"/>
            <w:vAlign w:val="top"/>
          </w:tcPr>
          <w:p>
            <w:pPr>
              <w:widowControl w:val="0"/>
              <w:rPr>
                <w:rFonts w:hint="eastAsia" w:ascii="仿宋" w:hAnsi="仿宋" w:eastAsia="仿宋" w:cs="仿宋"/>
                <w:color w:val="auto"/>
                <w:sz w:val="24"/>
                <w:szCs w:val="24"/>
                <w:highlight w:val="none"/>
              </w:rPr>
            </w:pPr>
          </w:p>
        </w:tc>
        <w:tc>
          <w:tcPr>
            <w:tcW w:w="4622" w:type="dxa"/>
            <w:tcBorders>
              <w:top w:val="single" w:color="auto" w:sz="4" w:space="0"/>
              <w:left w:val="single" w:color="auto" w:sz="4" w:space="0"/>
              <w:bottom w:val="single" w:color="auto" w:sz="4" w:space="0"/>
            </w:tcBorders>
            <w:shd w:val="clear" w:color="auto" w:fill="FFFFFF"/>
            <w:vAlign w:val="top"/>
          </w:tcPr>
          <w:p>
            <w:pPr>
              <w:pStyle w:val="14"/>
              <w:keepNext w:val="0"/>
              <w:keepLines w:val="0"/>
              <w:widowControl w:val="0"/>
              <w:shd w:val="clear" w:color="auto" w:fill="auto"/>
              <w:bidi w:val="0"/>
              <w:spacing w:before="0" w:after="0" w:line="269" w:lineRule="exact"/>
              <w:ind w:left="0" w:right="0" w:firstLine="0"/>
              <w:jc w:val="both"/>
              <w:rPr>
                <w:rFonts w:hint="eastAsia" w:ascii="Times New Roman" w:hAnsi="Times New Roman" w:eastAsia="仿宋" w:cs="Times New Roman"/>
                <w:b w:val="0"/>
                <w:bCs w:val="0"/>
                <w:color w:val="auto"/>
                <w:spacing w:val="0"/>
                <w:w w:val="100"/>
                <w:position w:val="0"/>
                <w:sz w:val="24"/>
                <w:szCs w:val="24"/>
                <w:highlight w:val="none"/>
              </w:rPr>
            </w:pPr>
            <w:r>
              <w:rPr>
                <w:rFonts w:hint="eastAsia" w:ascii="Times New Roman" w:hAnsi="Times New Roman" w:eastAsia="仿宋" w:cs="Times New Roman"/>
                <w:b w:val="0"/>
                <w:bCs w:val="0"/>
                <w:color w:val="auto"/>
                <w:spacing w:val="0"/>
                <w:w w:val="100"/>
                <w:position w:val="0"/>
                <w:sz w:val="24"/>
                <w:szCs w:val="24"/>
                <w:highlight w:val="none"/>
              </w:rPr>
              <w:t>完成目标值，得基本分9分；每超过目标值5%</w:t>
            </w:r>
            <w:r>
              <w:rPr>
                <w:rFonts w:hint="eastAsia" w:ascii="Times New Roman" w:hAnsi="Times New Roman" w:eastAsia="仿宋" w:cs="Times New Roman"/>
                <w:b w:val="0"/>
                <w:bCs w:val="0"/>
                <w:color w:val="auto"/>
                <w:spacing w:val="0"/>
                <w:w w:val="100"/>
                <w:position w:val="0"/>
                <w:sz w:val="24"/>
                <w:szCs w:val="24"/>
                <w:highlight w:val="none"/>
                <w:lang w:eastAsia="zh-CN"/>
              </w:rPr>
              <w:t>，</w:t>
            </w:r>
            <w:r>
              <w:rPr>
                <w:rFonts w:hint="eastAsia" w:ascii="Times New Roman" w:hAnsi="Times New Roman" w:eastAsia="仿宋" w:cs="Times New Roman"/>
                <w:b w:val="0"/>
                <w:bCs w:val="0"/>
                <w:color w:val="auto"/>
                <w:spacing w:val="0"/>
                <w:w w:val="100"/>
                <w:position w:val="0"/>
                <w:sz w:val="24"/>
                <w:szCs w:val="24"/>
                <w:highlight w:val="none"/>
              </w:rPr>
              <w:t>加</w:t>
            </w:r>
            <w:r>
              <w:rPr>
                <w:rFonts w:hint="eastAsia" w:ascii="Times New Roman" w:hAnsi="Times New Roman" w:eastAsia="仿宋" w:cs="Times New Roman"/>
                <w:b w:val="0"/>
                <w:bCs w:val="0"/>
                <w:color w:val="auto"/>
                <w:spacing w:val="0"/>
                <w:w w:val="100"/>
                <w:position w:val="0"/>
                <w:sz w:val="24"/>
                <w:szCs w:val="24"/>
                <w:highlight w:val="none"/>
                <w:lang w:val="en-US" w:eastAsia="en-US"/>
              </w:rPr>
              <w:t>0.5</w:t>
            </w:r>
            <w:r>
              <w:rPr>
                <w:rFonts w:hint="eastAsia" w:ascii="Times New Roman" w:hAnsi="Times New Roman" w:eastAsia="仿宋" w:cs="Times New Roman"/>
                <w:b w:val="0"/>
                <w:bCs w:val="0"/>
                <w:color w:val="auto"/>
                <w:spacing w:val="0"/>
                <w:w w:val="100"/>
                <w:position w:val="0"/>
                <w:sz w:val="24"/>
                <w:szCs w:val="24"/>
                <w:highlight w:val="none"/>
              </w:rPr>
              <w:t>分，最多加1分；每低于目标值5%</w:t>
            </w:r>
            <w:r>
              <w:rPr>
                <w:rFonts w:hint="eastAsia" w:ascii="Times New Roman" w:hAnsi="Times New Roman" w:eastAsia="仿宋" w:cs="Times New Roman"/>
                <w:b w:val="0"/>
                <w:bCs w:val="0"/>
                <w:color w:val="auto"/>
                <w:spacing w:val="0"/>
                <w:w w:val="100"/>
                <w:position w:val="0"/>
                <w:sz w:val="24"/>
                <w:szCs w:val="24"/>
                <w:highlight w:val="none"/>
                <w:lang w:eastAsia="zh-CN"/>
              </w:rPr>
              <w:t>，</w:t>
            </w:r>
            <w:r>
              <w:rPr>
                <w:rFonts w:hint="eastAsia" w:ascii="Times New Roman" w:hAnsi="Times New Roman" w:eastAsia="仿宋" w:cs="Times New Roman"/>
                <w:b w:val="0"/>
                <w:bCs w:val="0"/>
                <w:color w:val="auto"/>
                <w:spacing w:val="0"/>
                <w:w w:val="100"/>
                <w:position w:val="0"/>
                <w:sz w:val="24"/>
                <w:szCs w:val="24"/>
                <w:highlight w:val="none"/>
              </w:rPr>
              <w:t>扣基本分</w:t>
            </w:r>
            <w:r>
              <w:rPr>
                <w:rFonts w:hint="eastAsia" w:ascii="Times New Roman" w:hAnsi="Times New Roman" w:eastAsia="仿宋" w:cs="Times New Roman"/>
                <w:b w:val="0"/>
                <w:bCs w:val="0"/>
                <w:color w:val="auto"/>
                <w:spacing w:val="0"/>
                <w:w w:val="100"/>
                <w:position w:val="0"/>
                <w:sz w:val="24"/>
                <w:szCs w:val="24"/>
                <w:highlight w:val="none"/>
                <w:lang w:val="en-US" w:eastAsia="en-US"/>
              </w:rPr>
              <w:t>0.5</w:t>
            </w:r>
            <w:r>
              <w:rPr>
                <w:rFonts w:hint="eastAsia" w:ascii="Times New Roman" w:hAnsi="Times New Roman" w:eastAsia="仿宋" w:cs="Times New Roman"/>
                <w:b w:val="0"/>
                <w:bCs w:val="0"/>
                <w:color w:val="auto"/>
                <w:spacing w:val="0"/>
                <w:w w:val="100"/>
                <w:position w:val="0"/>
                <w:sz w:val="24"/>
                <w:szCs w:val="24"/>
                <w:highlight w:val="none"/>
              </w:rPr>
              <w:t>分，最多扣9分。</w:t>
            </w:r>
          </w:p>
        </w:tc>
        <w:tc>
          <w:tcPr>
            <w:tcW w:w="91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color w:val="auto"/>
                <w:sz w:val="24"/>
                <w:szCs w:val="24"/>
                <w:highlight w:val="none"/>
              </w:rPr>
            </w:pPr>
          </w:p>
        </w:tc>
      </w:tr>
    </w:tbl>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3.非经济指标考核评价细则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结合区城乡建设投资（集团）有限公司实际根据工作需要考核安全生产、综治维稳指标，非经济指标考核评价分值权重占比10%。</w:t>
      </w:r>
    </w:p>
    <w:tbl>
      <w:tblPr>
        <w:tblStyle w:val="8"/>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88"/>
        <w:gridCol w:w="730"/>
        <w:gridCol w:w="1012"/>
        <w:gridCol w:w="845"/>
        <w:gridCol w:w="4897"/>
        <w:gridCol w:w="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80" w:hRule="exact"/>
          <w:jc w:val="center"/>
        </w:trPr>
        <w:tc>
          <w:tcPr>
            <w:tcW w:w="488" w:type="dxa"/>
            <w:shd w:val="clear" w:color="auto" w:fill="FFFFFF"/>
            <w:vAlign w:val="center"/>
          </w:tcPr>
          <w:p>
            <w:pPr>
              <w:pStyle w:val="14"/>
              <w:keepNext w:val="0"/>
              <w:keepLines w:val="0"/>
              <w:widowControl w:val="0"/>
              <w:shd w:val="clear" w:color="auto" w:fill="auto"/>
              <w:bidi w:val="0"/>
              <w:spacing w:before="0" w:after="0" w:line="240" w:lineRule="auto"/>
              <w:ind w:left="0" w:leftChars="0" w:right="0" w:firstLine="0" w:firstLineChars="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序号</w:t>
            </w:r>
          </w:p>
        </w:tc>
        <w:tc>
          <w:tcPr>
            <w:tcW w:w="730" w:type="dxa"/>
            <w:shd w:val="clear" w:color="auto" w:fill="FFFFFF"/>
            <w:vAlign w:val="bottom"/>
          </w:tcPr>
          <w:p>
            <w:pPr>
              <w:pStyle w:val="14"/>
              <w:keepNext w:val="0"/>
              <w:keepLines w:val="0"/>
              <w:widowControl w:val="0"/>
              <w:shd w:val="clear" w:color="auto" w:fill="auto"/>
              <w:bidi w:val="0"/>
              <w:spacing w:before="0" w:after="0" w:line="307" w:lineRule="exact"/>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非经济指标</w:t>
            </w:r>
          </w:p>
        </w:tc>
        <w:tc>
          <w:tcPr>
            <w:tcW w:w="1012" w:type="dxa"/>
            <w:shd w:val="clear" w:color="auto" w:fill="FFFFFF"/>
            <w:vAlign w:val="bottom"/>
          </w:tcPr>
          <w:p>
            <w:pPr>
              <w:pStyle w:val="14"/>
              <w:keepNext w:val="0"/>
              <w:keepLines w:val="0"/>
              <w:widowControl w:val="0"/>
              <w:shd w:val="clear" w:color="auto" w:fill="auto"/>
              <w:bidi w:val="0"/>
              <w:spacing w:before="0" w:after="0" w:line="288" w:lineRule="exact"/>
              <w:ind w:left="0" w:right="0" w:firstLine="0"/>
              <w:jc w:val="center"/>
              <w:rPr>
                <w:rFonts w:hint="eastAsia" w:ascii="黑体" w:hAnsi="黑体" w:eastAsia="黑体" w:cs="黑体"/>
                <w:color w:val="auto"/>
                <w:spacing w:val="0"/>
                <w:w w:val="100"/>
                <w:position w:val="0"/>
                <w:sz w:val="24"/>
                <w:szCs w:val="24"/>
                <w:highlight w:val="none"/>
              </w:rPr>
            </w:pPr>
            <w:r>
              <w:rPr>
                <w:rFonts w:hint="eastAsia" w:ascii="黑体" w:hAnsi="黑体" w:eastAsia="黑体" w:cs="黑体"/>
                <w:color w:val="auto"/>
                <w:spacing w:val="0"/>
                <w:w w:val="100"/>
                <w:position w:val="0"/>
                <w:sz w:val="24"/>
                <w:szCs w:val="24"/>
                <w:highlight w:val="none"/>
              </w:rPr>
              <w:t>分值</w:t>
            </w:r>
          </w:p>
          <w:p>
            <w:pPr>
              <w:pStyle w:val="14"/>
              <w:keepNext w:val="0"/>
              <w:keepLines w:val="0"/>
              <w:widowControl w:val="0"/>
              <w:shd w:val="clear" w:color="auto" w:fill="auto"/>
              <w:bidi w:val="0"/>
              <w:spacing w:before="0" w:after="0" w:line="288" w:lineRule="exact"/>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（10分）</w:t>
            </w:r>
          </w:p>
        </w:tc>
        <w:tc>
          <w:tcPr>
            <w:tcW w:w="845" w:type="dxa"/>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目标值</w:t>
            </w:r>
          </w:p>
        </w:tc>
        <w:tc>
          <w:tcPr>
            <w:tcW w:w="4897" w:type="dxa"/>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考核计分标准</w:t>
            </w:r>
          </w:p>
        </w:tc>
        <w:tc>
          <w:tcPr>
            <w:tcW w:w="488" w:type="dxa"/>
            <w:shd w:val="clear" w:color="auto" w:fill="FFFFFF"/>
            <w:vAlign w:val="center"/>
          </w:tcPr>
          <w:p>
            <w:pPr>
              <w:pStyle w:val="14"/>
              <w:keepNext w:val="0"/>
              <w:keepLines w:val="0"/>
              <w:widowControl w:val="0"/>
              <w:shd w:val="clear" w:color="auto" w:fill="auto"/>
              <w:bidi w:val="0"/>
              <w:spacing w:before="0" w:after="0" w:line="240" w:lineRule="auto"/>
              <w:ind w:left="0" w:right="180" w:firstLine="0"/>
              <w:jc w:val="right"/>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087" w:hRule="exact"/>
          <w:jc w:val="center"/>
        </w:trPr>
        <w:tc>
          <w:tcPr>
            <w:tcW w:w="488" w:type="dxa"/>
            <w:shd w:val="clear" w:color="auto" w:fill="FFFFFF"/>
            <w:vAlign w:val="center"/>
          </w:tcPr>
          <w:p>
            <w:pPr>
              <w:pStyle w:val="14"/>
              <w:keepNext w:val="0"/>
              <w:keepLines w:val="0"/>
              <w:widowControl w:val="0"/>
              <w:shd w:val="clear" w:color="auto" w:fill="auto"/>
              <w:bidi w:val="0"/>
              <w:spacing w:before="0" w:after="0" w:line="269" w:lineRule="exact"/>
              <w:ind w:left="0" w:right="0" w:firstLine="0"/>
              <w:jc w:val="center"/>
              <w:rPr>
                <w:rFonts w:hint="eastAsia" w:ascii="Times New Roman" w:hAnsi="Times New Roman" w:eastAsia="仿宋" w:cs="Times New Roman"/>
                <w:b w:val="0"/>
                <w:bCs w:val="0"/>
                <w:color w:val="auto"/>
                <w:spacing w:val="0"/>
                <w:w w:val="100"/>
                <w:position w:val="0"/>
                <w:sz w:val="24"/>
                <w:szCs w:val="24"/>
                <w:highlight w:val="none"/>
                <w:lang w:val="en-US" w:eastAsia="en-US"/>
              </w:rPr>
            </w:pPr>
            <w:r>
              <w:rPr>
                <w:rFonts w:hint="eastAsia" w:ascii="Times New Roman" w:hAnsi="Times New Roman" w:eastAsia="仿宋" w:cs="Times New Roman"/>
                <w:b w:val="0"/>
                <w:bCs w:val="0"/>
                <w:color w:val="auto"/>
                <w:spacing w:val="0"/>
                <w:w w:val="100"/>
                <w:position w:val="0"/>
                <w:sz w:val="24"/>
                <w:szCs w:val="24"/>
                <w:highlight w:val="none"/>
                <w:lang w:val="en-US" w:eastAsia="en-US"/>
              </w:rPr>
              <w:t>1</w:t>
            </w:r>
          </w:p>
        </w:tc>
        <w:tc>
          <w:tcPr>
            <w:tcW w:w="730" w:type="dxa"/>
            <w:shd w:val="clear" w:color="auto" w:fill="FFFFFF"/>
            <w:vAlign w:val="center"/>
          </w:tcPr>
          <w:p>
            <w:pPr>
              <w:pStyle w:val="14"/>
              <w:keepNext w:val="0"/>
              <w:keepLines w:val="0"/>
              <w:widowControl w:val="0"/>
              <w:shd w:val="clear" w:color="auto" w:fill="auto"/>
              <w:bidi w:val="0"/>
              <w:spacing w:before="0" w:after="0" w:line="269" w:lineRule="exact"/>
              <w:ind w:left="0" w:right="0" w:firstLine="0"/>
              <w:jc w:val="center"/>
              <w:rPr>
                <w:rFonts w:hint="eastAsia" w:ascii="Times New Roman" w:hAnsi="Times New Roman" w:eastAsia="仿宋" w:cs="Times New Roman"/>
                <w:b w:val="0"/>
                <w:bCs w:val="0"/>
                <w:color w:val="auto"/>
                <w:spacing w:val="0"/>
                <w:w w:val="100"/>
                <w:position w:val="0"/>
                <w:sz w:val="24"/>
                <w:szCs w:val="24"/>
                <w:highlight w:val="none"/>
                <w:lang w:val="en-US" w:eastAsia="en-US"/>
              </w:rPr>
            </w:pPr>
            <w:r>
              <w:rPr>
                <w:rFonts w:hint="eastAsia" w:ascii="Times New Roman" w:hAnsi="Times New Roman" w:eastAsia="仿宋" w:cs="Times New Roman"/>
                <w:b w:val="0"/>
                <w:bCs w:val="0"/>
                <w:color w:val="auto"/>
                <w:spacing w:val="0"/>
                <w:w w:val="100"/>
                <w:position w:val="0"/>
                <w:sz w:val="24"/>
                <w:szCs w:val="24"/>
                <w:highlight w:val="none"/>
                <w:lang w:val="en-US" w:eastAsia="en-US"/>
              </w:rPr>
              <w:t>安全生产</w:t>
            </w:r>
          </w:p>
        </w:tc>
        <w:tc>
          <w:tcPr>
            <w:tcW w:w="1012" w:type="dxa"/>
            <w:shd w:val="clear" w:color="auto" w:fill="FFFFFF"/>
            <w:vAlign w:val="center"/>
          </w:tcPr>
          <w:p>
            <w:pPr>
              <w:pStyle w:val="14"/>
              <w:keepNext w:val="0"/>
              <w:keepLines w:val="0"/>
              <w:widowControl w:val="0"/>
              <w:shd w:val="clear" w:color="auto" w:fill="auto"/>
              <w:bidi w:val="0"/>
              <w:spacing w:before="0" w:after="0" w:line="269" w:lineRule="exact"/>
              <w:ind w:left="0" w:right="0" w:firstLine="0"/>
              <w:jc w:val="center"/>
              <w:rPr>
                <w:rFonts w:hint="eastAsia" w:ascii="Times New Roman" w:hAnsi="Times New Roman" w:eastAsia="仿宋" w:cs="Times New Roman"/>
                <w:b w:val="0"/>
                <w:bCs w:val="0"/>
                <w:color w:val="auto"/>
                <w:spacing w:val="0"/>
                <w:w w:val="100"/>
                <w:position w:val="0"/>
                <w:sz w:val="24"/>
                <w:szCs w:val="24"/>
                <w:highlight w:val="none"/>
                <w:lang w:val="en-US" w:eastAsia="en-US"/>
              </w:rPr>
            </w:pPr>
            <w:r>
              <w:rPr>
                <w:rFonts w:hint="eastAsia" w:ascii="Times New Roman" w:hAnsi="Times New Roman" w:eastAsia="仿宋" w:cs="Times New Roman"/>
                <w:b w:val="0"/>
                <w:bCs w:val="0"/>
                <w:color w:val="auto"/>
                <w:spacing w:val="0"/>
                <w:w w:val="100"/>
                <w:position w:val="0"/>
                <w:sz w:val="24"/>
                <w:szCs w:val="24"/>
                <w:highlight w:val="none"/>
                <w:lang w:val="en-US" w:eastAsia="en-US"/>
              </w:rPr>
              <w:t>5</w:t>
            </w:r>
          </w:p>
        </w:tc>
        <w:tc>
          <w:tcPr>
            <w:tcW w:w="845" w:type="dxa"/>
            <w:shd w:val="clear" w:color="auto" w:fill="FFFFFF"/>
            <w:vAlign w:val="top"/>
          </w:tcPr>
          <w:p>
            <w:pPr>
              <w:pStyle w:val="14"/>
              <w:keepNext w:val="0"/>
              <w:keepLines w:val="0"/>
              <w:widowControl w:val="0"/>
              <w:shd w:val="clear" w:color="auto" w:fill="auto"/>
              <w:bidi w:val="0"/>
              <w:spacing w:before="0" w:after="0" w:line="269" w:lineRule="exact"/>
              <w:ind w:left="0" w:right="0" w:firstLine="0"/>
              <w:jc w:val="both"/>
              <w:rPr>
                <w:rFonts w:hint="eastAsia" w:ascii="Times New Roman" w:hAnsi="Times New Roman" w:eastAsia="仿宋" w:cs="Times New Roman"/>
                <w:b w:val="0"/>
                <w:bCs w:val="0"/>
                <w:color w:val="auto"/>
                <w:spacing w:val="0"/>
                <w:w w:val="100"/>
                <w:position w:val="0"/>
                <w:sz w:val="24"/>
                <w:szCs w:val="24"/>
                <w:highlight w:val="none"/>
                <w:lang w:val="en-US" w:eastAsia="en-US"/>
              </w:rPr>
            </w:pPr>
          </w:p>
        </w:tc>
        <w:tc>
          <w:tcPr>
            <w:tcW w:w="4897" w:type="dxa"/>
            <w:shd w:val="clear" w:color="auto" w:fill="FFFFFF"/>
            <w:vAlign w:val="bottom"/>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rFonts w:hint="eastAsia" w:ascii="Times New Roman" w:hAnsi="Times New Roman" w:eastAsia="仿宋" w:cs="Times New Roman"/>
                <w:b w:val="0"/>
                <w:bCs w:val="0"/>
                <w:color w:val="auto"/>
                <w:spacing w:val="0"/>
                <w:w w:val="100"/>
                <w:position w:val="0"/>
                <w:sz w:val="24"/>
                <w:szCs w:val="24"/>
                <w:highlight w:val="none"/>
                <w:lang w:val="en-US" w:eastAsia="en-US"/>
              </w:rPr>
            </w:pPr>
            <w:r>
              <w:rPr>
                <w:rFonts w:hint="eastAsia" w:ascii="Times New Roman" w:hAnsi="Times New Roman" w:eastAsia="仿宋" w:cs="Times New Roman"/>
                <w:b w:val="0"/>
                <w:bCs w:val="0"/>
                <w:color w:val="auto"/>
                <w:spacing w:val="0"/>
                <w:w w:val="100"/>
                <w:position w:val="0"/>
                <w:sz w:val="24"/>
                <w:szCs w:val="24"/>
                <w:highlight w:val="none"/>
                <w:lang w:val="en-US" w:eastAsia="en-US"/>
              </w:rPr>
              <w:t>建立健全安全生产制度及机构（1分）；无工作机构及制度不得分。制定年度安全生产工作计划，工作有安排部署，检查落实到位（2分），反之不得分。年内未出现安全生产事故（2分）；出现重大安全生产事故本条不得分,并按照扣分标准扣分或者下调考核等级。</w:t>
            </w:r>
          </w:p>
        </w:tc>
        <w:tc>
          <w:tcPr>
            <w:tcW w:w="488" w:type="dxa"/>
            <w:shd w:val="clear" w:color="auto" w:fill="FFFFFF"/>
            <w:vAlign w:val="top"/>
          </w:tcPr>
          <w:p>
            <w:pPr>
              <w:pStyle w:val="14"/>
              <w:keepNext w:val="0"/>
              <w:keepLines w:val="0"/>
              <w:widowControl w:val="0"/>
              <w:shd w:val="clear" w:color="auto" w:fill="auto"/>
              <w:bidi w:val="0"/>
              <w:spacing w:before="0" w:after="0" w:line="269" w:lineRule="exact"/>
              <w:ind w:left="0" w:right="0" w:firstLine="0"/>
              <w:jc w:val="both"/>
              <w:rPr>
                <w:rFonts w:hint="eastAsia" w:ascii="Times New Roman" w:hAnsi="Times New Roman" w:eastAsia="仿宋" w:cs="Times New Roman"/>
                <w:b w:val="0"/>
                <w:bCs w:val="0"/>
                <w:color w:val="auto"/>
                <w:spacing w:val="0"/>
                <w:w w:val="100"/>
                <w:position w:val="0"/>
                <w:sz w:val="24"/>
                <w:szCs w:val="24"/>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936" w:hRule="exact"/>
          <w:jc w:val="center"/>
        </w:trPr>
        <w:tc>
          <w:tcPr>
            <w:tcW w:w="488" w:type="dxa"/>
            <w:shd w:val="clear" w:color="auto" w:fill="FFFFFF"/>
            <w:vAlign w:val="center"/>
          </w:tcPr>
          <w:p>
            <w:pPr>
              <w:pStyle w:val="14"/>
              <w:keepNext w:val="0"/>
              <w:keepLines w:val="0"/>
              <w:widowControl w:val="0"/>
              <w:shd w:val="clear" w:color="auto" w:fill="auto"/>
              <w:bidi w:val="0"/>
              <w:spacing w:before="0" w:after="0" w:line="269" w:lineRule="exact"/>
              <w:ind w:left="0" w:right="0" w:firstLine="0"/>
              <w:jc w:val="center"/>
              <w:rPr>
                <w:rFonts w:hint="eastAsia" w:ascii="Times New Roman" w:hAnsi="Times New Roman" w:eastAsia="仿宋" w:cs="Times New Roman"/>
                <w:b w:val="0"/>
                <w:bCs w:val="0"/>
                <w:color w:val="auto"/>
                <w:spacing w:val="0"/>
                <w:w w:val="100"/>
                <w:position w:val="0"/>
                <w:sz w:val="24"/>
                <w:szCs w:val="24"/>
                <w:highlight w:val="none"/>
                <w:lang w:val="en-US" w:eastAsia="en-US"/>
              </w:rPr>
            </w:pPr>
            <w:r>
              <w:rPr>
                <w:rFonts w:hint="eastAsia" w:ascii="Times New Roman" w:hAnsi="Times New Roman" w:eastAsia="仿宋" w:cs="Times New Roman"/>
                <w:b w:val="0"/>
                <w:bCs w:val="0"/>
                <w:color w:val="auto"/>
                <w:spacing w:val="0"/>
                <w:w w:val="100"/>
                <w:position w:val="0"/>
                <w:sz w:val="24"/>
                <w:szCs w:val="24"/>
                <w:highlight w:val="none"/>
                <w:lang w:val="en-US" w:eastAsia="en-US"/>
              </w:rPr>
              <w:t>2</w:t>
            </w:r>
          </w:p>
        </w:tc>
        <w:tc>
          <w:tcPr>
            <w:tcW w:w="730" w:type="dxa"/>
            <w:shd w:val="clear" w:color="auto" w:fill="FFFFFF"/>
            <w:vAlign w:val="center"/>
          </w:tcPr>
          <w:p>
            <w:pPr>
              <w:pStyle w:val="14"/>
              <w:keepNext w:val="0"/>
              <w:keepLines w:val="0"/>
              <w:widowControl w:val="0"/>
              <w:shd w:val="clear" w:color="auto" w:fill="auto"/>
              <w:bidi w:val="0"/>
              <w:spacing w:before="0" w:after="0" w:line="269" w:lineRule="exact"/>
              <w:ind w:left="0" w:right="0" w:firstLine="0"/>
              <w:jc w:val="center"/>
              <w:rPr>
                <w:rFonts w:hint="eastAsia" w:ascii="Times New Roman" w:hAnsi="Times New Roman" w:eastAsia="仿宋" w:cs="Times New Roman"/>
                <w:b w:val="0"/>
                <w:bCs w:val="0"/>
                <w:color w:val="auto"/>
                <w:spacing w:val="0"/>
                <w:w w:val="100"/>
                <w:position w:val="0"/>
                <w:sz w:val="24"/>
                <w:szCs w:val="24"/>
                <w:highlight w:val="none"/>
                <w:lang w:val="en-US" w:eastAsia="en-US"/>
              </w:rPr>
            </w:pPr>
            <w:r>
              <w:rPr>
                <w:rFonts w:hint="eastAsia" w:ascii="Times New Roman" w:hAnsi="Times New Roman" w:eastAsia="仿宋" w:cs="Times New Roman"/>
                <w:b w:val="0"/>
                <w:bCs w:val="0"/>
                <w:color w:val="auto"/>
                <w:spacing w:val="0"/>
                <w:w w:val="100"/>
                <w:position w:val="0"/>
                <w:sz w:val="24"/>
                <w:szCs w:val="24"/>
                <w:highlight w:val="none"/>
                <w:lang w:val="en-US" w:eastAsia="en-US"/>
              </w:rPr>
              <w:t>信访维稳</w:t>
            </w:r>
          </w:p>
        </w:tc>
        <w:tc>
          <w:tcPr>
            <w:tcW w:w="1012" w:type="dxa"/>
            <w:shd w:val="clear" w:color="auto" w:fill="FFFFFF"/>
            <w:vAlign w:val="center"/>
          </w:tcPr>
          <w:p>
            <w:pPr>
              <w:pStyle w:val="14"/>
              <w:keepNext w:val="0"/>
              <w:keepLines w:val="0"/>
              <w:widowControl w:val="0"/>
              <w:shd w:val="clear" w:color="auto" w:fill="auto"/>
              <w:bidi w:val="0"/>
              <w:spacing w:before="0" w:after="0" w:line="269" w:lineRule="exact"/>
              <w:ind w:left="0" w:right="0" w:firstLine="0"/>
              <w:jc w:val="center"/>
              <w:rPr>
                <w:rFonts w:hint="eastAsia" w:ascii="Times New Roman" w:hAnsi="Times New Roman" w:eastAsia="仿宋" w:cs="Times New Roman"/>
                <w:b w:val="0"/>
                <w:bCs w:val="0"/>
                <w:color w:val="auto"/>
                <w:spacing w:val="0"/>
                <w:w w:val="100"/>
                <w:position w:val="0"/>
                <w:sz w:val="24"/>
                <w:szCs w:val="24"/>
                <w:highlight w:val="none"/>
                <w:lang w:val="en-US" w:eastAsia="en-US"/>
              </w:rPr>
            </w:pPr>
            <w:r>
              <w:rPr>
                <w:rFonts w:hint="eastAsia" w:ascii="Times New Roman" w:hAnsi="Times New Roman" w:eastAsia="仿宋" w:cs="Times New Roman"/>
                <w:b w:val="0"/>
                <w:bCs w:val="0"/>
                <w:color w:val="auto"/>
                <w:spacing w:val="0"/>
                <w:w w:val="100"/>
                <w:position w:val="0"/>
                <w:sz w:val="24"/>
                <w:szCs w:val="24"/>
                <w:highlight w:val="none"/>
                <w:lang w:val="en-US" w:eastAsia="en-US"/>
              </w:rPr>
              <w:t>5</w:t>
            </w:r>
          </w:p>
        </w:tc>
        <w:tc>
          <w:tcPr>
            <w:tcW w:w="845" w:type="dxa"/>
            <w:shd w:val="clear" w:color="auto" w:fill="FFFFFF"/>
            <w:vAlign w:val="top"/>
          </w:tcPr>
          <w:p>
            <w:pPr>
              <w:pStyle w:val="14"/>
              <w:keepNext w:val="0"/>
              <w:keepLines w:val="0"/>
              <w:widowControl w:val="0"/>
              <w:shd w:val="clear" w:color="auto" w:fill="auto"/>
              <w:bidi w:val="0"/>
              <w:spacing w:before="0" w:after="0" w:line="269" w:lineRule="exact"/>
              <w:ind w:left="0" w:right="0" w:firstLine="0"/>
              <w:jc w:val="both"/>
              <w:rPr>
                <w:rFonts w:hint="eastAsia" w:ascii="Times New Roman" w:hAnsi="Times New Roman" w:eastAsia="仿宋" w:cs="Times New Roman"/>
                <w:b w:val="0"/>
                <w:bCs w:val="0"/>
                <w:color w:val="auto"/>
                <w:spacing w:val="0"/>
                <w:w w:val="100"/>
                <w:position w:val="0"/>
                <w:sz w:val="24"/>
                <w:szCs w:val="24"/>
                <w:highlight w:val="none"/>
                <w:lang w:val="en-US" w:eastAsia="en-US"/>
              </w:rPr>
            </w:pPr>
          </w:p>
        </w:tc>
        <w:tc>
          <w:tcPr>
            <w:tcW w:w="4897" w:type="dxa"/>
            <w:shd w:val="clear" w:color="auto" w:fill="FFFFFF"/>
            <w:vAlign w:val="top"/>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rFonts w:hint="eastAsia" w:ascii="Times New Roman" w:hAnsi="Times New Roman" w:eastAsia="仿宋" w:cs="Times New Roman"/>
                <w:b w:val="0"/>
                <w:bCs w:val="0"/>
                <w:color w:val="auto"/>
                <w:spacing w:val="0"/>
                <w:w w:val="100"/>
                <w:position w:val="0"/>
                <w:sz w:val="24"/>
                <w:szCs w:val="24"/>
                <w:highlight w:val="none"/>
                <w:lang w:val="en-US" w:eastAsia="en-US"/>
              </w:rPr>
            </w:pPr>
            <w:r>
              <w:rPr>
                <w:rFonts w:hint="eastAsia" w:ascii="Times New Roman" w:hAnsi="Times New Roman" w:eastAsia="仿宋" w:cs="Times New Roman"/>
                <w:b w:val="0"/>
                <w:bCs w:val="0"/>
                <w:color w:val="auto"/>
                <w:spacing w:val="0"/>
                <w:w w:val="100"/>
                <w:position w:val="0"/>
                <w:sz w:val="24"/>
                <w:szCs w:val="24"/>
                <w:highlight w:val="none"/>
                <w:lang w:val="en-US" w:eastAsia="en-US"/>
              </w:rPr>
              <w:t>建立健全信访接访制度（1分）;无工作机构、人员和制度不得分。制定信访维稳年度工作计划，安排布置、落实、检查到位，有痕迹材料（1分）。无信访维稳年度工作计划，无痕迹材料不得分。年度内未出现信访维稳事件或者能及时化解出现的信访维稳事件得基本分（3分）。企业发生重大信访事件，严重影响企业生产生活秩序或造成社会负面影响的，本条不得分，并按照扣分标准扣分或者下调考核等级。</w:t>
            </w:r>
          </w:p>
        </w:tc>
        <w:tc>
          <w:tcPr>
            <w:tcW w:w="488" w:type="dxa"/>
            <w:shd w:val="clear" w:color="auto" w:fill="FFFFFF"/>
            <w:vAlign w:val="top"/>
          </w:tcPr>
          <w:p>
            <w:pPr>
              <w:pStyle w:val="14"/>
              <w:keepNext w:val="0"/>
              <w:keepLines w:val="0"/>
              <w:widowControl w:val="0"/>
              <w:shd w:val="clear" w:color="auto" w:fill="auto"/>
              <w:bidi w:val="0"/>
              <w:spacing w:before="0" w:after="0" w:line="269" w:lineRule="exact"/>
              <w:ind w:left="0" w:right="0" w:firstLine="0"/>
              <w:jc w:val="both"/>
              <w:rPr>
                <w:rFonts w:hint="eastAsia" w:ascii="Times New Roman" w:hAnsi="Times New Roman" w:eastAsia="仿宋" w:cs="Times New Roman"/>
                <w:b w:val="0"/>
                <w:bCs w:val="0"/>
                <w:color w:val="auto"/>
                <w:spacing w:val="0"/>
                <w:w w:val="100"/>
                <w:position w:val="0"/>
                <w:sz w:val="24"/>
                <w:szCs w:val="24"/>
                <w:highlight w:val="none"/>
                <w:lang w:val="en-US" w:eastAsia="en-US"/>
              </w:rPr>
            </w:pPr>
          </w:p>
        </w:tc>
      </w:tr>
    </w:tbl>
    <w:p>
      <w:pPr>
        <w:pStyle w:val="14"/>
        <w:keepNext w:val="0"/>
        <w:keepLines w:val="0"/>
        <w:widowControl w:val="0"/>
        <w:shd w:val="clear" w:color="auto" w:fill="auto"/>
        <w:bidi w:val="0"/>
        <w:spacing w:before="0" w:after="0" w:line="269" w:lineRule="exact"/>
        <w:ind w:left="0" w:right="0" w:firstLine="0"/>
        <w:jc w:val="both"/>
        <w:rPr>
          <w:rFonts w:hint="eastAsia" w:ascii="Times New Roman" w:hAnsi="Times New Roman" w:eastAsia="仿宋" w:cs="Times New Roman"/>
          <w:b w:val="0"/>
          <w:bCs w:val="0"/>
          <w:color w:val="auto"/>
          <w:spacing w:val="0"/>
          <w:w w:val="100"/>
          <w:position w:val="0"/>
          <w:sz w:val="24"/>
          <w:szCs w:val="24"/>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4.重大专项指标考核评价细则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根据区城乡建设投资（集团）有限公司承担区委、区政府重大项目建设需要考核融资、投资指标，重大专项指标考核评价分值权重按</w:t>
      </w:r>
      <w:r>
        <w:rPr>
          <w:rFonts w:hint="default" w:ascii="Times New Roman" w:hAnsi="Times New Roman" w:eastAsia="仿宋" w:cs="Times New Roman"/>
          <w:color w:val="auto"/>
          <w:sz w:val="32"/>
          <w:szCs w:val="32"/>
          <w:highlight w:val="none"/>
          <w:lang w:val="en-US" w:eastAsia="zh-CN"/>
        </w:rPr>
        <w:t>10</w:t>
      </w:r>
      <w:r>
        <w:rPr>
          <w:rFonts w:hint="eastAsia" w:ascii="Times New Roman" w:hAnsi="Times New Roman" w:eastAsia="仿宋" w:cs="Times New Roman"/>
          <w:color w:val="auto"/>
          <w:sz w:val="32"/>
          <w:szCs w:val="32"/>
          <w:highlight w:val="none"/>
          <w:lang w:val="en-US" w:eastAsia="zh-CN"/>
        </w:rPr>
        <w:t>%确定。</w:t>
      </w:r>
    </w:p>
    <w:tbl>
      <w:tblPr>
        <w:tblStyle w:val="8"/>
        <w:tblW w:w="8326" w:type="dxa"/>
        <w:jc w:val="center"/>
        <w:tblInd w:w="0" w:type="dxa"/>
        <w:tblLayout w:type="fixed"/>
        <w:tblCellMar>
          <w:top w:w="0" w:type="dxa"/>
          <w:left w:w="10" w:type="dxa"/>
          <w:bottom w:w="0" w:type="dxa"/>
          <w:right w:w="10" w:type="dxa"/>
        </w:tblCellMar>
      </w:tblPr>
      <w:tblGrid>
        <w:gridCol w:w="544"/>
        <w:gridCol w:w="902"/>
        <w:gridCol w:w="1019"/>
        <w:gridCol w:w="805"/>
        <w:gridCol w:w="4711"/>
        <w:gridCol w:w="345"/>
      </w:tblGrid>
      <w:tr>
        <w:tblPrEx>
          <w:tblLayout w:type="fixed"/>
          <w:tblCellMar>
            <w:top w:w="0" w:type="dxa"/>
            <w:left w:w="10" w:type="dxa"/>
            <w:bottom w:w="0" w:type="dxa"/>
            <w:right w:w="10" w:type="dxa"/>
          </w:tblCellMar>
        </w:tblPrEx>
        <w:trPr>
          <w:trHeight w:val="624" w:hRule="exact"/>
          <w:jc w:val="center"/>
        </w:trPr>
        <w:tc>
          <w:tcPr>
            <w:tcW w:w="544"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leftChars="0" w:right="0" w:firstLine="0" w:firstLineChars="0"/>
              <w:jc w:val="left"/>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序号</w:t>
            </w:r>
          </w:p>
        </w:tc>
        <w:tc>
          <w:tcPr>
            <w:tcW w:w="902"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312" w:lineRule="exact"/>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重大专项指标</w:t>
            </w:r>
          </w:p>
        </w:tc>
        <w:tc>
          <w:tcPr>
            <w:tcW w:w="1019"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302" w:lineRule="exact"/>
              <w:ind w:left="0" w:right="0" w:firstLine="0"/>
              <w:jc w:val="center"/>
              <w:rPr>
                <w:rFonts w:hint="eastAsia" w:ascii="黑体" w:hAnsi="黑体" w:eastAsia="黑体" w:cs="黑体"/>
                <w:color w:val="auto"/>
                <w:spacing w:val="0"/>
                <w:w w:val="100"/>
                <w:position w:val="0"/>
                <w:sz w:val="24"/>
                <w:szCs w:val="24"/>
                <w:highlight w:val="none"/>
              </w:rPr>
            </w:pPr>
            <w:r>
              <w:rPr>
                <w:rFonts w:hint="eastAsia" w:ascii="黑体" w:hAnsi="黑体" w:eastAsia="黑体" w:cs="黑体"/>
                <w:color w:val="auto"/>
                <w:spacing w:val="0"/>
                <w:w w:val="100"/>
                <w:position w:val="0"/>
                <w:sz w:val="24"/>
                <w:szCs w:val="24"/>
                <w:highlight w:val="none"/>
              </w:rPr>
              <w:t>分值</w:t>
            </w:r>
          </w:p>
          <w:p>
            <w:pPr>
              <w:pStyle w:val="14"/>
              <w:keepNext w:val="0"/>
              <w:keepLines w:val="0"/>
              <w:widowControl w:val="0"/>
              <w:shd w:val="clear" w:color="auto" w:fill="auto"/>
              <w:bidi w:val="0"/>
              <w:spacing w:before="0" w:after="0" w:line="302" w:lineRule="exact"/>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（10分）</w:t>
            </w:r>
          </w:p>
        </w:tc>
        <w:tc>
          <w:tcPr>
            <w:tcW w:w="805"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leftChars="0" w:right="0" w:firstLine="0" w:firstLineChars="0"/>
              <w:jc w:val="left"/>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目标值</w:t>
            </w:r>
          </w:p>
        </w:tc>
        <w:tc>
          <w:tcPr>
            <w:tcW w:w="4711"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考核计分标准</w:t>
            </w:r>
          </w:p>
        </w:tc>
        <w:tc>
          <w:tcPr>
            <w:tcW w:w="345" w:type="dxa"/>
            <w:tcBorders>
              <w:top w:val="single" w:color="auto" w:sz="4" w:space="0"/>
              <w:left w:val="single" w:color="auto" w:sz="4" w:space="0"/>
              <w:righ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leftChars="0" w:right="0" w:firstLine="0" w:firstLineChars="0"/>
              <w:jc w:val="lef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计分</w:t>
            </w:r>
          </w:p>
        </w:tc>
      </w:tr>
      <w:tr>
        <w:tblPrEx>
          <w:tblLayout w:type="fixed"/>
          <w:tblCellMar>
            <w:top w:w="0" w:type="dxa"/>
            <w:left w:w="10" w:type="dxa"/>
            <w:bottom w:w="0" w:type="dxa"/>
            <w:right w:w="10" w:type="dxa"/>
          </w:tblCellMar>
        </w:tblPrEx>
        <w:trPr>
          <w:trHeight w:val="1313" w:hRule="exact"/>
          <w:jc w:val="center"/>
        </w:trPr>
        <w:tc>
          <w:tcPr>
            <w:tcW w:w="544"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color w:val="auto"/>
                <w:sz w:val="24"/>
                <w:szCs w:val="24"/>
                <w:highlight w:val="none"/>
              </w:rPr>
            </w:pPr>
            <w:r>
              <w:rPr>
                <w:rFonts w:ascii="Times New Roman" w:hAnsi="Times New Roman" w:eastAsia="Times New Roman" w:cs="Times New Roman"/>
                <w:color w:val="auto"/>
                <w:spacing w:val="0"/>
                <w:w w:val="100"/>
                <w:position w:val="0"/>
                <w:sz w:val="24"/>
                <w:szCs w:val="24"/>
                <w:highlight w:val="none"/>
              </w:rPr>
              <w:t>1</w:t>
            </w:r>
          </w:p>
        </w:tc>
        <w:tc>
          <w:tcPr>
            <w:tcW w:w="902"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leftChars="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融资</w:t>
            </w:r>
          </w:p>
        </w:tc>
        <w:tc>
          <w:tcPr>
            <w:tcW w:w="1019"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5</w:t>
            </w:r>
          </w:p>
        </w:tc>
        <w:tc>
          <w:tcPr>
            <w:tcW w:w="805" w:type="dxa"/>
            <w:tcBorders>
              <w:top w:val="single" w:color="auto" w:sz="4" w:space="0"/>
              <w:left w:val="single" w:color="auto" w:sz="4" w:space="0"/>
            </w:tcBorders>
            <w:shd w:val="clear" w:color="auto" w:fill="FFFFFF"/>
            <w:vAlign w:val="top"/>
          </w:tcPr>
          <w:p>
            <w:pPr>
              <w:widowControl w:val="0"/>
              <w:rPr>
                <w:rFonts w:hint="eastAsia" w:ascii="仿宋" w:hAnsi="仿宋" w:eastAsia="仿宋" w:cs="仿宋"/>
                <w:color w:val="auto"/>
                <w:sz w:val="24"/>
                <w:szCs w:val="24"/>
                <w:highlight w:val="none"/>
              </w:rPr>
            </w:pPr>
          </w:p>
        </w:tc>
        <w:tc>
          <w:tcPr>
            <w:tcW w:w="4711"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06" w:lineRule="exact"/>
              <w:ind w:left="0" w:right="0" w:firstLine="0"/>
              <w:jc w:val="both"/>
              <w:rPr>
                <w:rFonts w:hint="eastAsia" w:ascii="Times New Roman" w:hAnsi="Times New Roman" w:eastAsia="仿宋" w:cs="Times New Roman"/>
                <w:color w:val="auto"/>
                <w:spacing w:val="0"/>
                <w:w w:val="100"/>
                <w:position w:val="0"/>
                <w:sz w:val="24"/>
                <w:szCs w:val="24"/>
                <w:highlight w:val="none"/>
                <w:lang w:val="en-US" w:eastAsia="en-US" w:bidi="en-US"/>
              </w:rPr>
            </w:pPr>
            <w:r>
              <w:rPr>
                <w:rFonts w:hint="eastAsia" w:ascii="Times New Roman" w:hAnsi="Times New Roman" w:eastAsia="仿宋" w:cs="Times New Roman"/>
                <w:color w:val="auto"/>
                <w:spacing w:val="0"/>
                <w:w w:val="100"/>
                <w:position w:val="0"/>
                <w:sz w:val="24"/>
                <w:szCs w:val="24"/>
                <w:highlight w:val="none"/>
                <w:lang w:val="en-US" w:eastAsia="en-US" w:bidi="en-US"/>
              </w:rPr>
              <w:t>完成目标值，得基本分</w:t>
            </w:r>
            <w:r>
              <w:rPr>
                <w:rFonts w:hint="default" w:ascii="Times New Roman" w:hAnsi="Times New Roman" w:eastAsia="仿宋" w:cs="Times New Roman"/>
                <w:color w:val="auto"/>
                <w:spacing w:val="0"/>
                <w:w w:val="100"/>
                <w:position w:val="0"/>
                <w:sz w:val="24"/>
                <w:szCs w:val="24"/>
                <w:highlight w:val="none"/>
                <w:lang w:val="en-US" w:eastAsia="en-US" w:bidi="en-US"/>
              </w:rPr>
              <w:t>4.5</w:t>
            </w:r>
            <w:r>
              <w:rPr>
                <w:rFonts w:hint="eastAsia" w:ascii="Times New Roman" w:hAnsi="Times New Roman" w:eastAsia="仿宋" w:cs="Times New Roman"/>
                <w:color w:val="auto"/>
                <w:spacing w:val="0"/>
                <w:w w:val="100"/>
                <w:position w:val="0"/>
                <w:sz w:val="24"/>
                <w:szCs w:val="24"/>
                <w:highlight w:val="none"/>
                <w:lang w:val="en-US" w:eastAsia="en-US" w:bidi="en-US"/>
              </w:rPr>
              <w:t>分；每超过目标值5%</w:t>
            </w:r>
            <w:r>
              <w:rPr>
                <w:rFonts w:hint="eastAsia" w:ascii="Times New Roman" w:hAnsi="Times New Roman" w:eastAsia="仿宋" w:cs="Times New Roman"/>
                <w:color w:val="auto"/>
                <w:spacing w:val="0"/>
                <w:w w:val="100"/>
                <w:position w:val="0"/>
                <w:sz w:val="24"/>
                <w:szCs w:val="24"/>
                <w:highlight w:val="none"/>
                <w:lang w:val="en-US" w:eastAsia="zh-CN" w:bidi="en-US"/>
              </w:rPr>
              <w:t>，</w:t>
            </w:r>
            <w:r>
              <w:rPr>
                <w:rFonts w:hint="eastAsia" w:ascii="Times New Roman" w:hAnsi="Times New Roman" w:eastAsia="仿宋" w:cs="Times New Roman"/>
                <w:color w:val="auto"/>
                <w:spacing w:val="0"/>
                <w:w w:val="100"/>
                <w:position w:val="0"/>
                <w:sz w:val="24"/>
                <w:szCs w:val="24"/>
                <w:highlight w:val="none"/>
                <w:lang w:val="en-US" w:eastAsia="en-US" w:bidi="en-US"/>
              </w:rPr>
              <w:t>加0.25分，最多加0.5分；每低于目标值5%</w:t>
            </w:r>
            <w:r>
              <w:rPr>
                <w:rFonts w:hint="eastAsia" w:ascii="Times New Roman" w:hAnsi="Times New Roman" w:eastAsia="仿宋" w:cs="Times New Roman"/>
                <w:color w:val="auto"/>
                <w:spacing w:val="0"/>
                <w:w w:val="100"/>
                <w:position w:val="0"/>
                <w:sz w:val="24"/>
                <w:szCs w:val="24"/>
                <w:highlight w:val="none"/>
                <w:lang w:val="en-US" w:eastAsia="zh-CN" w:bidi="en-US"/>
              </w:rPr>
              <w:t>，</w:t>
            </w:r>
            <w:r>
              <w:rPr>
                <w:rFonts w:hint="eastAsia" w:ascii="Times New Roman" w:hAnsi="Times New Roman" w:eastAsia="仿宋" w:cs="Times New Roman"/>
                <w:color w:val="auto"/>
                <w:spacing w:val="0"/>
                <w:w w:val="100"/>
                <w:position w:val="0"/>
                <w:sz w:val="24"/>
                <w:szCs w:val="24"/>
                <w:highlight w:val="none"/>
                <w:lang w:val="en-US" w:eastAsia="en-US" w:bidi="en-US"/>
              </w:rPr>
              <w:t>扣基本分0.25分，最多扣4.5分。</w:t>
            </w:r>
          </w:p>
        </w:tc>
        <w:tc>
          <w:tcPr>
            <w:tcW w:w="345" w:type="dxa"/>
            <w:tcBorders>
              <w:top w:val="single" w:color="auto" w:sz="4" w:space="0"/>
              <w:left w:val="single" w:color="auto" w:sz="4" w:space="0"/>
              <w:right w:val="single" w:color="auto" w:sz="4" w:space="0"/>
            </w:tcBorders>
            <w:shd w:val="clear" w:color="auto" w:fill="FFFFFF"/>
            <w:vAlign w:val="top"/>
          </w:tcPr>
          <w:p>
            <w:pPr>
              <w:widowControl w:val="0"/>
              <w:rPr>
                <w:color w:val="auto"/>
                <w:sz w:val="24"/>
                <w:szCs w:val="24"/>
                <w:highlight w:val="none"/>
              </w:rPr>
            </w:pPr>
          </w:p>
        </w:tc>
      </w:tr>
      <w:tr>
        <w:tblPrEx>
          <w:tblLayout w:type="fixed"/>
          <w:tblCellMar>
            <w:top w:w="0" w:type="dxa"/>
            <w:left w:w="10" w:type="dxa"/>
            <w:bottom w:w="0" w:type="dxa"/>
            <w:right w:w="10" w:type="dxa"/>
          </w:tblCellMar>
        </w:tblPrEx>
        <w:trPr>
          <w:trHeight w:val="1306" w:hRule="exact"/>
          <w:jc w:val="center"/>
        </w:trPr>
        <w:tc>
          <w:tcPr>
            <w:tcW w:w="544"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color w:val="auto"/>
                <w:sz w:val="24"/>
                <w:szCs w:val="24"/>
                <w:highlight w:val="none"/>
              </w:rPr>
            </w:pPr>
            <w:r>
              <w:rPr>
                <w:rFonts w:ascii="Times New Roman" w:hAnsi="Times New Roman" w:eastAsia="Times New Roman" w:cs="Times New Roman"/>
                <w:color w:val="auto"/>
                <w:spacing w:val="0"/>
                <w:w w:val="100"/>
                <w:position w:val="0"/>
                <w:sz w:val="24"/>
                <w:szCs w:val="24"/>
                <w:highlight w:val="none"/>
              </w:rPr>
              <w:t>2</w:t>
            </w:r>
          </w:p>
        </w:tc>
        <w:tc>
          <w:tcPr>
            <w:tcW w:w="902"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投资</w:t>
            </w:r>
          </w:p>
        </w:tc>
        <w:tc>
          <w:tcPr>
            <w:tcW w:w="1019"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5</w:t>
            </w:r>
          </w:p>
        </w:tc>
        <w:tc>
          <w:tcPr>
            <w:tcW w:w="805" w:type="dxa"/>
            <w:tcBorders>
              <w:top w:val="single" w:color="auto" w:sz="4" w:space="0"/>
              <w:left w:val="single" w:color="auto" w:sz="4" w:space="0"/>
              <w:bottom w:val="single" w:color="auto" w:sz="4" w:space="0"/>
            </w:tcBorders>
            <w:shd w:val="clear" w:color="auto" w:fill="FFFFFF"/>
            <w:vAlign w:val="top"/>
          </w:tcPr>
          <w:p>
            <w:pPr>
              <w:widowControl w:val="0"/>
              <w:rPr>
                <w:rFonts w:hint="eastAsia" w:ascii="仿宋" w:hAnsi="仿宋" w:eastAsia="仿宋" w:cs="仿宋"/>
                <w:color w:val="auto"/>
                <w:sz w:val="24"/>
                <w:szCs w:val="24"/>
                <w:highlight w:val="none"/>
              </w:rPr>
            </w:pPr>
          </w:p>
        </w:tc>
        <w:tc>
          <w:tcPr>
            <w:tcW w:w="4711"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306" w:lineRule="exact"/>
              <w:ind w:left="0" w:right="0" w:firstLine="0"/>
              <w:jc w:val="both"/>
              <w:rPr>
                <w:rFonts w:hint="eastAsia" w:ascii="Times New Roman" w:hAnsi="Times New Roman" w:eastAsia="仿宋" w:cs="Times New Roman"/>
                <w:color w:val="auto"/>
                <w:spacing w:val="0"/>
                <w:w w:val="100"/>
                <w:position w:val="0"/>
                <w:sz w:val="24"/>
                <w:szCs w:val="24"/>
                <w:highlight w:val="none"/>
                <w:lang w:val="en-US" w:eastAsia="en-US" w:bidi="en-US"/>
              </w:rPr>
            </w:pPr>
            <w:r>
              <w:rPr>
                <w:rFonts w:hint="eastAsia" w:ascii="Times New Roman" w:hAnsi="Times New Roman" w:eastAsia="仿宋" w:cs="Times New Roman"/>
                <w:color w:val="auto"/>
                <w:spacing w:val="0"/>
                <w:w w:val="100"/>
                <w:position w:val="0"/>
                <w:sz w:val="24"/>
                <w:szCs w:val="24"/>
                <w:highlight w:val="none"/>
                <w:lang w:val="en-US" w:eastAsia="en-US" w:bidi="en-US"/>
              </w:rPr>
              <w:t>完成目标值，得基本分4.5分；每超过目标值5%,加0.25分，最多加0.5分；每低于目标值5%,扣基本分0.25分，最多扣4.5分。</w:t>
            </w:r>
          </w:p>
        </w:tc>
        <w:tc>
          <w:tcPr>
            <w:tcW w:w="345"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color w:val="auto"/>
                <w:sz w:val="24"/>
                <w:szCs w:val="24"/>
                <w:highlight w:val="none"/>
              </w:rPr>
            </w:pPr>
          </w:p>
        </w:tc>
      </w:tr>
    </w:tbl>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eastAsia" w:ascii="Times New Roman" w:hAnsi="Times New Roman" w:eastAsia="仿宋" w:cs="Times New Roman"/>
          <w:color w:val="auto"/>
          <w:sz w:val="32"/>
          <w:szCs w:val="32"/>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（三）考核分级与结果运用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年度经营业绩考核综合得分与考核分级、对应年度考核评价系数关系为：</w:t>
      </w:r>
    </w:p>
    <w:tbl>
      <w:tblPr>
        <w:tblStyle w:val="8"/>
        <w:tblW w:w="8961" w:type="dxa"/>
        <w:jc w:val="center"/>
        <w:tblInd w:w="0" w:type="dxa"/>
        <w:tblLayout w:type="fixed"/>
        <w:tblCellMar>
          <w:top w:w="0" w:type="dxa"/>
          <w:left w:w="10" w:type="dxa"/>
          <w:bottom w:w="0" w:type="dxa"/>
          <w:right w:w="10" w:type="dxa"/>
        </w:tblCellMar>
      </w:tblPr>
      <w:tblGrid>
        <w:gridCol w:w="1344"/>
        <w:gridCol w:w="1219"/>
        <w:gridCol w:w="4704"/>
        <w:gridCol w:w="1694"/>
      </w:tblGrid>
      <w:tr>
        <w:tblPrEx>
          <w:tblLayout w:type="fixed"/>
          <w:tblCellMar>
            <w:top w:w="0" w:type="dxa"/>
            <w:left w:w="10" w:type="dxa"/>
            <w:bottom w:w="0" w:type="dxa"/>
            <w:right w:w="10" w:type="dxa"/>
          </w:tblCellMar>
        </w:tblPrEx>
        <w:trPr>
          <w:trHeight w:val="638" w:hRule="exact"/>
          <w:jc w:val="center"/>
        </w:trPr>
        <w:tc>
          <w:tcPr>
            <w:tcW w:w="1344" w:type="dxa"/>
            <w:tcBorders>
              <w:top w:val="single" w:color="auto" w:sz="4" w:space="0"/>
              <w:left w:val="single" w:color="auto" w:sz="4" w:space="0"/>
              <w:bottom w:val="single" w:color="auto" w:sz="4" w:space="0"/>
            </w:tcBorders>
            <w:shd w:val="clear" w:color="auto" w:fill="FFFFFF"/>
            <w:vAlign w:val="top"/>
          </w:tcPr>
          <w:p>
            <w:pPr>
              <w:widowControl w:val="0"/>
              <w:rPr>
                <w:color w:val="auto"/>
                <w:sz w:val="24"/>
                <w:szCs w:val="24"/>
                <w:highlight w:val="none"/>
              </w:rPr>
            </w:pPr>
          </w:p>
        </w:tc>
        <w:tc>
          <w:tcPr>
            <w:tcW w:w="1219" w:type="dxa"/>
            <w:tcBorders>
              <w:top w:val="single" w:color="auto" w:sz="4" w:space="0"/>
              <w:left w:val="single" w:color="auto" w:sz="4" w:space="0"/>
              <w:bottom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考核分级</w:t>
            </w:r>
          </w:p>
        </w:tc>
        <w:tc>
          <w:tcPr>
            <w:tcW w:w="4704" w:type="dxa"/>
            <w:tcBorders>
              <w:top w:val="single" w:color="auto" w:sz="4" w:space="0"/>
              <w:left w:val="single" w:color="auto" w:sz="4" w:space="0"/>
              <w:bottom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年度综合考核评价得分</w:t>
            </w:r>
          </w:p>
        </w:tc>
        <w:tc>
          <w:tcPr>
            <w:tcW w:w="1694" w:type="dxa"/>
            <w:tcBorders>
              <w:top w:val="single" w:color="auto" w:sz="4" w:space="0"/>
              <w:left w:val="single" w:color="auto" w:sz="4" w:space="0"/>
              <w:bottom w:val="single" w:color="auto" w:sz="4" w:space="0"/>
              <w:right w:val="single" w:color="auto" w:sz="4" w:space="0"/>
            </w:tcBorders>
            <w:shd w:val="clear" w:color="auto" w:fill="FFFFFF"/>
            <w:vAlign w:val="top"/>
          </w:tcPr>
          <w:p>
            <w:pPr>
              <w:pStyle w:val="14"/>
              <w:keepNext w:val="0"/>
              <w:keepLines w:val="0"/>
              <w:widowControl w:val="0"/>
              <w:shd w:val="clear" w:color="auto" w:fill="auto"/>
              <w:bidi w:val="0"/>
              <w:spacing w:before="0" w:after="0" w:line="312" w:lineRule="exact"/>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对应年度综合考核评价系数</w:t>
            </w:r>
          </w:p>
        </w:tc>
      </w:tr>
      <w:tr>
        <w:tblPrEx>
          <w:tblLayout w:type="fixed"/>
          <w:tblCellMar>
            <w:top w:w="0" w:type="dxa"/>
            <w:left w:w="10" w:type="dxa"/>
            <w:bottom w:w="0" w:type="dxa"/>
            <w:right w:w="10" w:type="dxa"/>
          </w:tblCellMar>
        </w:tblPrEx>
        <w:trPr>
          <w:trHeight w:val="1709" w:hRule="exact"/>
          <w:jc w:val="center"/>
        </w:trPr>
        <w:tc>
          <w:tcPr>
            <w:tcW w:w="134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443"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年度综合考核评级及评价系数确定</w:t>
            </w:r>
          </w:p>
        </w:tc>
        <w:tc>
          <w:tcPr>
            <w:tcW w:w="121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default" w:ascii="Times New Roman" w:hAnsi="Times New Roman" w:eastAsia="仿宋" w:cs="Times New Roman"/>
                <w:color w:val="auto"/>
                <w:spacing w:val="0"/>
                <w:w w:val="100"/>
                <w:position w:val="0"/>
                <w:sz w:val="24"/>
                <w:szCs w:val="24"/>
                <w:highlight w:val="none"/>
                <w:lang w:val="en-US" w:eastAsia="en-US" w:bidi="en-US"/>
              </w:rPr>
              <w:t>A</w:t>
            </w:r>
            <w:r>
              <w:rPr>
                <w:rFonts w:hint="eastAsia" w:ascii="仿宋" w:hAnsi="仿宋" w:eastAsia="仿宋" w:cs="仿宋"/>
                <w:color w:val="auto"/>
                <w:spacing w:val="0"/>
                <w:w w:val="100"/>
                <w:position w:val="0"/>
                <w:sz w:val="24"/>
                <w:szCs w:val="24"/>
                <w:highlight w:val="none"/>
              </w:rPr>
              <w:t>级</w:t>
            </w:r>
          </w:p>
        </w:tc>
        <w:tc>
          <w:tcPr>
            <w:tcW w:w="470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350" w:lineRule="exact"/>
              <w:ind w:left="0" w:right="0" w:firstLine="0"/>
              <w:jc w:val="both"/>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lang w:val="en-US" w:eastAsia="zh-CN"/>
              </w:rPr>
              <w:t>Z</w:t>
            </w:r>
            <w:r>
              <w:rPr>
                <w:rFonts w:hint="default" w:ascii="Arial" w:hAnsi="Arial" w:eastAsia="仿宋" w:cs="Arial"/>
                <w:color w:val="auto"/>
                <w:spacing w:val="0"/>
                <w:w w:val="100"/>
                <w:position w:val="0"/>
                <w:sz w:val="24"/>
                <w:szCs w:val="24"/>
                <w:highlight w:val="none"/>
                <w:lang w:val="en-US" w:eastAsia="zh-CN"/>
              </w:rPr>
              <w:t>≥</w:t>
            </w:r>
            <w:r>
              <w:rPr>
                <w:rFonts w:hint="default" w:ascii="Times New Roman" w:hAnsi="Times New Roman" w:eastAsia="仿宋" w:cs="Times New Roman"/>
                <w:color w:val="auto"/>
                <w:spacing w:val="0"/>
                <w:w w:val="100"/>
                <w:position w:val="0"/>
                <w:sz w:val="24"/>
                <w:szCs w:val="24"/>
                <w:highlight w:val="none"/>
              </w:rPr>
              <w:t>90</w:t>
            </w:r>
            <w:r>
              <w:rPr>
                <w:rFonts w:hint="eastAsia" w:ascii="Times New Roman" w:hAnsi="Times New Roman" w:eastAsia="仿宋" w:cs="Times New Roman"/>
                <w:color w:val="auto"/>
                <w:spacing w:val="0"/>
                <w:w w:val="100"/>
                <w:position w:val="0"/>
                <w:sz w:val="24"/>
                <w:szCs w:val="24"/>
                <w:highlight w:val="none"/>
              </w:rPr>
              <w:t>分，且经营现金流量为正，年度党委书记抓基层党建述职评议考核综合评价意见或党风廉政建设考核结果为“较好”或“合格”及以上等次</w:t>
            </w:r>
          </w:p>
        </w:tc>
        <w:tc>
          <w:tcPr>
            <w:tcW w:w="169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350" w:lineRule="exact"/>
              <w:ind w:left="0" w:right="0" w:firstLine="0"/>
              <w:jc w:val="center"/>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rPr>
              <w:t>2</w:t>
            </w:r>
          </w:p>
        </w:tc>
      </w:tr>
      <w:tr>
        <w:tblPrEx>
          <w:tblLayout w:type="fixed"/>
          <w:tblCellMar>
            <w:top w:w="0" w:type="dxa"/>
            <w:left w:w="10" w:type="dxa"/>
            <w:bottom w:w="0" w:type="dxa"/>
            <w:right w:w="10" w:type="dxa"/>
          </w:tblCellMar>
        </w:tblPrEx>
        <w:trPr>
          <w:trHeight w:val="1046" w:hRule="exact"/>
          <w:jc w:val="center"/>
        </w:trPr>
        <w:tc>
          <w:tcPr>
            <w:tcW w:w="1344" w:type="dxa"/>
            <w:vMerge w:val="continue"/>
            <w:tcBorders>
              <w:top w:val="single" w:color="auto" w:sz="4" w:space="0"/>
              <w:left w:val="single" w:color="auto" w:sz="4" w:space="0"/>
            </w:tcBorders>
            <w:shd w:val="clear" w:color="auto" w:fill="FFFFFF"/>
            <w:vAlign w:val="center"/>
          </w:tcPr>
          <w:p>
            <w:pPr>
              <w:rPr>
                <w:rFonts w:hint="eastAsia" w:ascii="仿宋" w:hAnsi="仿宋" w:eastAsia="仿宋" w:cs="仿宋"/>
                <w:color w:val="auto"/>
                <w:sz w:val="24"/>
                <w:szCs w:val="24"/>
                <w:highlight w:val="none"/>
              </w:rPr>
            </w:pPr>
          </w:p>
        </w:tc>
        <w:tc>
          <w:tcPr>
            <w:tcW w:w="1219"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 w:cs="Times New Roman"/>
                <w:color w:val="auto"/>
                <w:spacing w:val="0"/>
                <w:w w:val="100"/>
                <w:position w:val="0"/>
                <w:sz w:val="24"/>
                <w:szCs w:val="24"/>
                <w:highlight w:val="none"/>
                <w:lang w:val="en-US" w:eastAsia="en-US" w:bidi="en-US"/>
              </w:rPr>
            </w:pPr>
            <w:r>
              <w:rPr>
                <w:rFonts w:hint="eastAsia" w:ascii="Times New Roman" w:hAnsi="Times New Roman" w:eastAsia="仿宋" w:cs="Times New Roman"/>
                <w:color w:val="auto"/>
                <w:spacing w:val="0"/>
                <w:w w:val="100"/>
                <w:position w:val="0"/>
                <w:sz w:val="24"/>
                <w:szCs w:val="24"/>
                <w:highlight w:val="none"/>
                <w:lang w:val="en-US" w:eastAsia="en-US" w:bidi="en-US"/>
              </w:rPr>
              <w:t>B级</w:t>
            </w:r>
          </w:p>
        </w:tc>
        <w:tc>
          <w:tcPr>
            <w:tcW w:w="4704"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350" w:lineRule="exact"/>
              <w:ind w:left="0" w:right="0" w:firstLine="0"/>
              <w:jc w:val="both"/>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rPr>
              <w:t>80分</w:t>
            </w:r>
            <w:r>
              <w:rPr>
                <w:rFonts w:hint="default" w:ascii="Arial" w:hAnsi="Arial" w:eastAsia="仿宋" w:cs="Arial"/>
                <w:color w:val="auto"/>
                <w:spacing w:val="0"/>
                <w:w w:val="100"/>
                <w:position w:val="0"/>
                <w:sz w:val="24"/>
                <w:szCs w:val="24"/>
                <w:highlight w:val="none"/>
                <w:lang w:val="en-US" w:eastAsia="en-US"/>
              </w:rPr>
              <w:t>≤</w:t>
            </w:r>
            <w:r>
              <w:rPr>
                <w:rFonts w:hint="eastAsia" w:ascii="Times New Roman" w:hAnsi="Times New Roman" w:eastAsia="仿宋" w:cs="Times New Roman"/>
                <w:color w:val="auto"/>
                <w:spacing w:val="0"/>
                <w:w w:val="100"/>
                <w:position w:val="0"/>
                <w:sz w:val="24"/>
                <w:szCs w:val="24"/>
                <w:highlight w:val="none"/>
                <w:lang w:val="en-US" w:eastAsia="en-US"/>
              </w:rPr>
              <w:t>Z</w:t>
            </w:r>
            <w:r>
              <w:rPr>
                <w:rFonts w:hint="eastAsia" w:ascii="Times New Roman" w:hAnsi="Times New Roman" w:eastAsia="仿宋" w:cs="Times New Roman"/>
                <w:color w:val="auto"/>
                <w:spacing w:val="0"/>
                <w:w w:val="100"/>
                <w:position w:val="0"/>
                <w:sz w:val="24"/>
                <w:szCs w:val="24"/>
                <w:highlight w:val="none"/>
                <w:lang w:val="en-US" w:eastAsia="zh-CN"/>
              </w:rPr>
              <w:t>&lt;</w:t>
            </w:r>
            <w:r>
              <w:rPr>
                <w:rFonts w:hint="eastAsia" w:ascii="Times New Roman" w:hAnsi="Times New Roman" w:eastAsia="仿宋" w:cs="Times New Roman"/>
                <w:color w:val="auto"/>
                <w:spacing w:val="0"/>
                <w:w w:val="100"/>
                <w:position w:val="0"/>
                <w:sz w:val="24"/>
                <w:szCs w:val="24"/>
                <w:highlight w:val="none"/>
                <w:lang w:val="en-US" w:eastAsia="en-US"/>
              </w:rPr>
              <w:t>90</w:t>
            </w:r>
            <w:r>
              <w:rPr>
                <w:rFonts w:hint="eastAsia" w:ascii="Times New Roman" w:hAnsi="Times New Roman" w:eastAsia="仿宋" w:cs="Times New Roman"/>
                <w:color w:val="auto"/>
                <w:spacing w:val="0"/>
                <w:w w:val="100"/>
                <w:position w:val="0"/>
                <w:sz w:val="24"/>
                <w:szCs w:val="24"/>
                <w:highlight w:val="none"/>
              </w:rPr>
              <w:t>分，年度党委书记抓基层党建述职评议考核综合评价意见或党风廉政建设考核结果为“较好”或“合格，汲以上等次</w:t>
            </w:r>
          </w:p>
        </w:tc>
        <w:tc>
          <w:tcPr>
            <w:tcW w:w="1694" w:type="dxa"/>
            <w:vMerge w:val="restart"/>
            <w:tcBorders>
              <w:top w:val="single" w:color="auto" w:sz="4" w:space="0"/>
              <w:left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350" w:lineRule="exact"/>
              <w:ind w:left="0" w:right="0" w:firstLine="0"/>
              <w:jc w:val="both"/>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rPr>
              <w:t>年度综合考核评价得分</w:t>
            </w:r>
            <w:r>
              <w:rPr>
                <w:rFonts w:hint="eastAsia" w:ascii="Times New Roman" w:hAnsi="Times New Roman" w:eastAsia="仿宋" w:cs="Times New Roman"/>
                <w:color w:val="auto"/>
                <w:spacing w:val="0"/>
                <w:w w:val="100"/>
                <w:position w:val="0"/>
                <w:sz w:val="24"/>
                <w:szCs w:val="24"/>
                <w:highlight w:val="none"/>
                <w:lang w:val="en-US" w:eastAsia="en-US"/>
              </w:rPr>
              <w:t>/100</w:t>
            </w:r>
            <w:r>
              <w:rPr>
                <w:rFonts w:hint="default" w:ascii="Arial" w:hAnsi="Arial" w:eastAsia="仿宋" w:cs="Arial"/>
                <w:color w:val="auto"/>
                <w:spacing w:val="0"/>
                <w:w w:val="100"/>
                <w:position w:val="0"/>
                <w:sz w:val="24"/>
                <w:szCs w:val="24"/>
                <w:highlight w:val="none"/>
                <w:lang w:val="en-US" w:eastAsia="en-US"/>
              </w:rPr>
              <w:t>×</w:t>
            </w:r>
            <w:r>
              <w:rPr>
                <w:rFonts w:hint="eastAsia" w:ascii="Times New Roman" w:hAnsi="Times New Roman" w:eastAsia="仿宋" w:cs="Times New Roman"/>
                <w:color w:val="auto"/>
                <w:spacing w:val="0"/>
                <w:w w:val="100"/>
                <w:position w:val="0"/>
                <w:sz w:val="24"/>
                <w:szCs w:val="24"/>
                <w:highlight w:val="none"/>
                <w:lang w:val="en-US" w:eastAsia="en-US"/>
              </w:rPr>
              <w:t>2</w:t>
            </w:r>
          </w:p>
        </w:tc>
      </w:tr>
      <w:tr>
        <w:tblPrEx>
          <w:tblLayout w:type="fixed"/>
          <w:tblCellMar>
            <w:top w:w="0" w:type="dxa"/>
            <w:left w:w="10" w:type="dxa"/>
            <w:bottom w:w="0" w:type="dxa"/>
            <w:right w:w="10" w:type="dxa"/>
          </w:tblCellMar>
        </w:tblPrEx>
        <w:trPr>
          <w:trHeight w:val="586" w:hRule="exact"/>
          <w:jc w:val="center"/>
        </w:trPr>
        <w:tc>
          <w:tcPr>
            <w:tcW w:w="1344" w:type="dxa"/>
            <w:vMerge w:val="continue"/>
            <w:tcBorders>
              <w:left w:val="single" w:color="auto" w:sz="4" w:space="0"/>
            </w:tcBorders>
            <w:shd w:val="clear" w:color="auto" w:fill="FFFFFF"/>
            <w:vAlign w:val="center"/>
          </w:tcPr>
          <w:p>
            <w:pPr>
              <w:rPr>
                <w:rFonts w:hint="eastAsia" w:ascii="仿宋" w:hAnsi="仿宋" w:eastAsia="仿宋" w:cs="仿宋"/>
                <w:color w:val="auto"/>
                <w:sz w:val="24"/>
                <w:szCs w:val="24"/>
                <w:highlight w:val="none"/>
              </w:rPr>
            </w:pPr>
          </w:p>
        </w:tc>
        <w:tc>
          <w:tcPr>
            <w:tcW w:w="1219"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 w:cs="Times New Roman"/>
                <w:color w:val="auto"/>
                <w:spacing w:val="0"/>
                <w:w w:val="100"/>
                <w:position w:val="0"/>
                <w:sz w:val="24"/>
                <w:szCs w:val="24"/>
                <w:highlight w:val="none"/>
                <w:lang w:val="en-US" w:eastAsia="en-US" w:bidi="en-US"/>
              </w:rPr>
            </w:pPr>
            <w:r>
              <w:rPr>
                <w:rFonts w:hint="eastAsia" w:ascii="Times New Roman" w:hAnsi="Times New Roman" w:eastAsia="仿宋" w:cs="Times New Roman"/>
                <w:color w:val="auto"/>
                <w:spacing w:val="0"/>
                <w:w w:val="100"/>
                <w:position w:val="0"/>
                <w:sz w:val="24"/>
                <w:szCs w:val="24"/>
                <w:highlight w:val="none"/>
                <w:lang w:val="en-US" w:eastAsia="en-US" w:bidi="en-US"/>
              </w:rPr>
              <w:t>C级</w:t>
            </w:r>
          </w:p>
        </w:tc>
        <w:tc>
          <w:tcPr>
            <w:tcW w:w="4704"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50" w:lineRule="exact"/>
              <w:ind w:left="0" w:right="0" w:firstLine="0"/>
              <w:jc w:val="both"/>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rPr>
              <w:t>70</w:t>
            </w:r>
            <w:r>
              <w:rPr>
                <w:rFonts w:hint="eastAsia" w:ascii="Times New Roman" w:hAnsi="Times New Roman" w:eastAsia="仿宋" w:cs="Times New Roman"/>
                <w:color w:val="auto"/>
                <w:spacing w:val="0"/>
                <w:w w:val="100"/>
                <w:position w:val="0"/>
                <w:sz w:val="24"/>
                <w:szCs w:val="24"/>
                <w:highlight w:val="none"/>
                <w:lang w:eastAsia="zh-CN"/>
              </w:rPr>
              <w:t>分</w:t>
            </w:r>
            <w:r>
              <w:rPr>
                <w:rFonts w:hint="default" w:ascii="Arial" w:hAnsi="Arial" w:eastAsia="仿宋" w:cs="Arial"/>
                <w:color w:val="auto"/>
                <w:spacing w:val="0"/>
                <w:w w:val="100"/>
                <w:position w:val="0"/>
                <w:sz w:val="24"/>
                <w:szCs w:val="24"/>
                <w:highlight w:val="none"/>
                <w:lang w:val="en-US" w:eastAsia="en-US"/>
              </w:rPr>
              <w:t>≤</w:t>
            </w:r>
            <w:r>
              <w:rPr>
                <w:rFonts w:hint="eastAsia" w:ascii="Times New Roman" w:hAnsi="Times New Roman" w:eastAsia="仿宋" w:cs="Times New Roman"/>
                <w:color w:val="auto"/>
                <w:spacing w:val="0"/>
                <w:w w:val="100"/>
                <w:position w:val="0"/>
                <w:sz w:val="24"/>
                <w:szCs w:val="24"/>
                <w:highlight w:val="none"/>
                <w:lang w:val="en-US" w:eastAsia="en-US"/>
              </w:rPr>
              <w:t>Z</w:t>
            </w:r>
            <w:r>
              <w:rPr>
                <w:rFonts w:hint="eastAsia" w:ascii="Times New Roman" w:hAnsi="Times New Roman" w:eastAsia="仿宋" w:cs="Times New Roman"/>
                <w:color w:val="auto"/>
                <w:spacing w:val="0"/>
                <w:w w:val="100"/>
                <w:position w:val="0"/>
                <w:sz w:val="24"/>
                <w:szCs w:val="24"/>
                <w:highlight w:val="none"/>
                <w:lang w:val="en-US" w:eastAsia="zh-CN"/>
              </w:rPr>
              <w:t>&lt;</w:t>
            </w:r>
            <w:r>
              <w:rPr>
                <w:rFonts w:hint="eastAsia" w:ascii="Times New Roman" w:hAnsi="Times New Roman" w:eastAsia="仿宋" w:cs="Times New Roman"/>
                <w:color w:val="auto"/>
                <w:spacing w:val="0"/>
                <w:w w:val="100"/>
                <w:position w:val="0"/>
                <w:sz w:val="24"/>
                <w:szCs w:val="24"/>
                <w:highlight w:val="none"/>
                <w:lang w:val="en-US" w:eastAsia="en-US"/>
              </w:rPr>
              <w:t>80</w:t>
            </w:r>
            <w:r>
              <w:rPr>
                <w:rFonts w:hint="eastAsia" w:ascii="Times New Roman" w:hAnsi="Times New Roman" w:eastAsia="仿宋" w:cs="Times New Roman"/>
                <w:color w:val="auto"/>
                <w:spacing w:val="0"/>
                <w:w w:val="100"/>
                <w:position w:val="0"/>
                <w:sz w:val="24"/>
                <w:szCs w:val="24"/>
                <w:highlight w:val="none"/>
              </w:rPr>
              <w:t>分</w:t>
            </w:r>
          </w:p>
        </w:tc>
        <w:tc>
          <w:tcPr>
            <w:tcW w:w="1694" w:type="dxa"/>
            <w:vMerge w:val="continue"/>
            <w:tcBorders>
              <w:left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350" w:lineRule="exact"/>
              <w:ind w:left="0" w:right="0" w:firstLine="0"/>
              <w:jc w:val="both"/>
              <w:rPr>
                <w:rFonts w:hint="eastAsia" w:ascii="Times New Roman" w:hAnsi="Times New Roman" w:eastAsia="仿宋" w:cs="Times New Roman"/>
                <w:color w:val="auto"/>
                <w:spacing w:val="0"/>
                <w:w w:val="100"/>
                <w:position w:val="0"/>
                <w:sz w:val="24"/>
                <w:szCs w:val="24"/>
                <w:highlight w:val="none"/>
              </w:rPr>
            </w:pPr>
          </w:p>
        </w:tc>
      </w:tr>
      <w:tr>
        <w:tblPrEx>
          <w:tblLayout w:type="fixed"/>
          <w:tblCellMar>
            <w:top w:w="0" w:type="dxa"/>
            <w:left w:w="10" w:type="dxa"/>
            <w:bottom w:w="0" w:type="dxa"/>
            <w:right w:w="10" w:type="dxa"/>
          </w:tblCellMar>
        </w:tblPrEx>
        <w:trPr>
          <w:trHeight w:val="590" w:hRule="exact"/>
          <w:jc w:val="center"/>
        </w:trPr>
        <w:tc>
          <w:tcPr>
            <w:tcW w:w="1344" w:type="dxa"/>
            <w:vMerge w:val="continue"/>
            <w:tcBorders>
              <w:left w:val="single" w:color="auto" w:sz="4" w:space="0"/>
            </w:tcBorders>
            <w:shd w:val="clear" w:color="auto" w:fill="FFFFFF"/>
            <w:vAlign w:val="center"/>
          </w:tcPr>
          <w:p>
            <w:pPr>
              <w:rPr>
                <w:rFonts w:hint="eastAsia" w:ascii="仿宋" w:hAnsi="仿宋" w:eastAsia="仿宋" w:cs="仿宋"/>
                <w:color w:val="auto"/>
                <w:sz w:val="24"/>
                <w:szCs w:val="24"/>
                <w:highlight w:val="none"/>
              </w:rPr>
            </w:pPr>
          </w:p>
        </w:tc>
        <w:tc>
          <w:tcPr>
            <w:tcW w:w="1219"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 w:cs="Times New Roman"/>
                <w:color w:val="auto"/>
                <w:spacing w:val="0"/>
                <w:w w:val="100"/>
                <w:position w:val="0"/>
                <w:sz w:val="24"/>
                <w:szCs w:val="24"/>
                <w:highlight w:val="none"/>
                <w:lang w:val="en-US" w:eastAsia="en-US" w:bidi="en-US"/>
              </w:rPr>
            </w:pPr>
            <w:r>
              <w:rPr>
                <w:rFonts w:hint="eastAsia" w:ascii="Times New Roman" w:hAnsi="Times New Roman" w:eastAsia="仿宋" w:cs="Times New Roman"/>
                <w:color w:val="auto"/>
                <w:spacing w:val="0"/>
                <w:w w:val="100"/>
                <w:position w:val="0"/>
                <w:sz w:val="24"/>
                <w:szCs w:val="24"/>
                <w:highlight w:val="none"/>
                <w:lang w:val="en-US" w:eastAsia="en-US" w:bidi="en-US"/>
              </w:rPr>
              <w:t>D级</w:t>
            </w:r>
          </w:p>
        </w:tc>
        <w:tc>
          <w:tcPr>
            <w:tcW w:w="4704"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50" w:lineRule="exact"/>
              <w:ind w:left="0" w:right="0" w:firstLine="0"/>
              <w:jc w:val="both"/>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rPr>
              <w:t>60分</w:t>
            </w:r>
            <w:r>
              <w:rPr>
                <w:rFonts w:hint="default" w:ascii="Arial" w:hAnsi="Arial" w:eastAsia="仿宋" w:cs="Arial"/>
                <w:color w:val="auto"/>
                <w:spacing w:val="0"/>
                <w:w w:val="100"/>
                <w:position w:val="0"/>
                <w:sz w:val="24"/>
                <w:szCs w:val="24"/>
                <w:highlight w:val="none"/>
                <w:lang w:val="en-US" w:eastAsia="en-US"/>
              </w:rPr>
              <w:t>≤</w:t>
            </w:r>
            <w:r>
              <w:rPr>
                <w:rFonts w:hint="eastAsia" w:ascii="Times New Roman" w:hAnsi="Times New Roman" w:eastAsia="仿宋" w:cs="Times New Roman"/>
                <w:color w:val="auto"/>
                <w:spacing w:val="0"/>
                <w:w w:val="100"/>
                <w:position w:val="0"/>
                <w:sz w:val="24"/>
                <w:szCs w:val="24"/>
                <w:highlight w:val="none"/>
                <w:lang w:val="en-US" w:eastAsia="en-US"/>
              </w:rPr>
              <w:t>Z</w:t>
            </w:r>
            <w:r>
              <w:rPr>
                <w:rFonts w:hint="eastAsia" w:ascii="Times New Roman" w:hAnsi="Times New Roman" w:eastAsia="仿宋" w:cs="Times New Roman"/>
                <w:color w:val="auto"/>
                <w:spacing w:val="0"/>
                <w:w w:val="100"/>
                <w:position w:val="0"/>
                <w:sz w:val="24"/>
                <w:szCs w:val="24"/>
                <w:highlight w:val="none"/>
                <w:lang w:val="en-US" w:eastAsia="zh-CN"/>
              </w:rPr>
              <w:t>&lt;</w:t>
            </w:r>
            <w:r>
              <w:rPr>
                <w:rFonts w:hint="eastAsia" w:ascii="Times New Roman" w:hAnsi="Times New Roman" w:eastAsia="仿宋" w:cs="Times New Roman"/>
                <w:color w:val="auto"/>
                <w:spacing w:val="0"/>
                <w:w w:val="100"/>
                <w:position w:val="0"/>
                <w:sz w:val="24"/>
                <w:szCs w:val="24"/>
                <w:highlight w:val="none"/>
                <w:lang w:val="en-US" w:eastAsia="en-US"/>
              </w:rPr>
              <w:t>70</w:t>
            </w:r>
            <w:r>
              <w:rPr>
                <w:rFonts w:hint="eastAsia" w:ascii="Times New Roman" w:hAnsi="Times New Roman" w:eastAsia="仿宋" w:cs="Times New Roman"/>
                <w:color w:val="auto"/>
                <w:spacing w:val="0"/>
                <w:w w:val="100"/>
                <w:position w:val="0"/>
                <w:sz w:val="24"/>
                <w:szCs w:val="24"/>
                <w:highlight w:val="none"/>
              </w:rPr>
              <w:t>分</w:t>
            </w:r>
          </w:p>
        </w:tc>
        <w:tc>
          <w:tcPr>
            <w:tcW w:w="1694" w:type="dxa"/>
            <w:vMerge w:val="continue"/>
            <w:tcBorders>
              <w:left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350" w:lineRule="exact"/>
              <w:ind w:left="0" w:right="0" w:firstLine="0"/>
              <w:jc w:val="both"/>
              <w:rPr>
                <w:rFonts w:hint="eastAsia" w:ascii="Times New Roman" w:hAnsi="Times New Roman" w:eastAsia="仿宋" w:cs="Times New Roman"/>
                <w:color w:val="auto"/>
                <w:spacing w:val="0"/>
                <w:w w:val="100"/>
                <w:position w:val="0"/>
                <w:sz w:val="24"/>
                <w:szCs w:val="24"/>
                <w:highlight w:val="none"/>
              </w:rPr>
            </w:pPr>
          </w:p>
        </w:tc>
      </w:tr>
      <w:tr>
        <w:tblPrEx>
          <w:tblLayout w:type="fixed"/>
          <w:tblCellMar>
            <w:top w:w="0" w:type="dxa"/>
            <w:left w:w="10" w:type="dxa"/>
            <w:bottom w:w="0" w:type="dxa"/>
            <w:right w:w="10" w:type="dxa"/>
          </w:tblCellMar>
        </w:tblPrEx>
        <w:trPr>
          <w:trHeight w:val="807" w:hRule="exact"/>
          <w:jc w:val="center"/>
        </w:trPr>
        <w:tc>
          <w:tcPr>
            <w:tcW w:w="1344" w:type="dxa"/>
            <w:vMerge w:val="continue"/>
            <w:tcBorders>
              <w:left w:val="single" w:color="auto" w:sz="4" w:space="0"/>
              <w:bottom w:val="single" w:color="auto" w:sz="4" w:space="0"/>
            </w:tcBorders>
            <w:shd w:val="clear" w:color="auto" w:fill="FFFFFF"/>
            <w:vAlign w:val="center"/>
          </w:tcPr>
          <w:p>
            <w:pPr>
              <w:rPr>
                <w:rFonts w:hint="eastAsia" w:ascii="仿宋" w:hAnsi="仿宋" w:eastAsia="仿宋" w:cs="仿宋"/>
                <w:color w:val="auto"/>
                <w:sz w:val="24"/>
                <w:szCs w:val="24"/>
                <w:highlight w:val="none"/>
              </w:rPr>
            </w:pPr>
          </w:p>
        </w:tc>
        <w:tc>
          <w:tcPr>
            <w:tcW w:w="1219" w:type="dxa"/>
            <w:tcBorders>
              <w:top w:val="single" w:color="auto" w:sz="4" w:space="0"/>
              <w:left w:val="single" w:color="auto" w:sz="4" w:space="0"/>
              <w:bottom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 w:cs="Times New Roman"/>
                <w:color w:val="auto"/>
                <w:spacing w:val="0"/>
                <w:w w:val="100"/>
                <w:position w:val="0"/>
                <w:sz w:val="24"/>
                <w:szCs w:val="24"/>
                <w:highlight w:val="none"/>
                <w:lang w:val="en-US" w:eastAsia="en-US" w:bidi="en-US"/>
              </w:rPr>
            </w:pPr>
            <w:r>
              <w:rPr>
                <w:rFonts w:hint="eastAsia" w:ascii="Times New Roman" w:hAnsi="Times New Roman" w:eastAsia="仿宋" w:cs="Times New Roman"/>
                <w:color w:val="auto"/>
                <w:spacing w:val="0"/>
                <w:w w:val="100"/>
                <w:position w:val="0"/>
                <w:sz w:val="24"/>
                <w:szCs w:val="24"/>
                <w:highlight w:val="none"/>
                <w:lang w:val="en-US" w:eastAsia="en-US" w:bidi="en-US"/>
              </w:rPr>
              <w:t>E级</w:t>
            </w:r>
          </w:p>
        </w:tc>
        <w:tc>
          <w:tcPr>
            <w:tcW w:w="4704" w:type="dxa"/>
            <w:tcBorders>
              <w:top w:val="single" w:color="auto" w:sz="4" w:space="0"/>
              <w:left w:val="single" w:color="auto" w:sz="4" w:space="0"/>
              <w:bottom w:val="single" w:color="auto" w:sz="4" w:space="0"/>
            </w:tcBorders>
            <w:shd w:val="clear" w:color="auto" w:fill="FFFFFF"/>
            <w:vAlign w:val="bottom"/>
          </w:tcPr>
          <w:p>
            <w:pPr>
              <w:pStyle w:val="14"/>
              <w:keepNext w:val="0"/>
              <w:keepLines w:val="0"/>
              <w:widowControl w:val="0"/>
              <w:shd w:val="clear" w:color="auto" w:fill="auto"/>
              <w:bidi w:val="0"/>
              <w:spacing w:before="0" w:after="0" w:line="350" w:lineRule="exact"/>
              <w:ind w:left="0" w:right="0" w:firstLine="0"/>
              <w:jc w:val="both"/>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lang w:val="en-US" w:eastAsia="en-US"/>
              </w:rPr>
              <w:t>Z&lt;60</w:t>
            </w:r>
            <w:r>
              <w:rPr>
                <w:rFonts w:hint="eastAsia" w:ascii="Times New Roman" w:hAnsi="Times New Roman" w:eastAsia="仿宋" w:cs="Times New Roman"/>
                <w:color w:val="auto"/>
                <w:spacing w:val="0"/>
                <w:w w:val="100"/>
                <w:position w:val="0"/>
                <w:sz w:val="24"/>
                <w:szCs w:val="24"/>
                <w:highlight w:val="none"/>
              </w:rPr>
              <w:t>分</w:t>
            </w:r>
          </w:p>
        </w:tc>
        <w:tc>
          <w:tcPr>
            <w:tcW w:w="1694" w:type="dxa"/>
            <w:tcBorders>
              <w:top w:val="single" w:color="auto" w:sz="4" w:space="0"/>
              <w:left w:val="single" w:color="auto" w:sz="4" w:space="0"/>
              <w:bottom w:val="single" w:color="auto" w:sz="4" w:space="0"/>
              <w:right w:val="single" w:color="auto" w:sz="4" w:space="0"/>
            </w:tcBorders>
            <w:shd w:val="clear" w:color="auto" w:fill="FFFFFF"/>
            <w:vAlign w:val="top"/>
          </w:tcPr>
          <w:p>
            <w:pPr>
              <w:pStyle w:val="14"/>
              <w:keepNext w:val="0"/>
              <w:keepLines w:val="0"/>
              <w:widowControl w:val="0"/>
              <w:shd w:val="clear" w:color="auto" w:fill="auto"/>
              <w:bidi w:val="0"/>
              <w:spacing w:before="0" w:after="0" w:line="350" w:lineRule="exact"/>
              <w:ind w:left="0" w:right="0" w:firstLine="0"/>
              <w:jc w:val="both"/>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rPr>
              <w:t>在</w:t>
            </w:r>
            <w:r>
              <w:rPr>
                <w:rFonts w:hint="eastAsia" w:ascii="Times New Roman" w:hAnsi="Times New Roman" w:eastAsia="仿宋" w:cs="Times New Roman"/>
                <w:color w:val="auto"/>
                <w:spacing w:val="0"/>
                <w:w w:val="100"/>
                <w:position w:val="0"/>
                <w:sz w:val="24"/>
                <w:szCs w:val="24"/>
                <w:highlight w:val="none"/>
                <w:lang w:val="en-US" w:eastAsia="en-US"/>
              </w:rPr>
              <w:t>0—1</w:t>
            </w:r>
            <w:r>
              <w:rPr>
                <w:rFonts w:hint="eastAsia" w:ascii="Times New Roman" w:hAnsi="Times New Roman" w:eastAsia="仿宋" w:cs="Times New Roman"/>
                <w:color w:val="auto"/>
                <w:spacing w:val="0"/>
                <w:w w:val="100"/>
                <w:position w:val="0"/>
                <w:sz w:val="24"/>
                <w:szCs w:val="24"/>
                <w:highlight w:val="none"/>
              </w:rPr>
              <w:t>之间确定</w:t>
            </w:r>
          </w:p>
        </w:tc>
      </w:tr>
    </w:tbl>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二、任期经营业绩考核计分细则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（一）任期经营业绩考核的综合计分公式</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任期经营业绩考核综合得分（Z）=质量效益指标得分+任期内年度考核结果运用得分。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（二）任期经营业绩考核各指标计分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3" w:firstLineChars="200"/>
        <w:jc w:val="both"/>
        <w:textAlignment w:val="auto"/>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b/>
          <w:bCs/>
          <w:color w:val="auto"/>
          <w:sz w:val="32"/>
          <w:szCs w:val="32"/>
          <w:highlight w:val="none"/>
          <w:lang w:val="en-US" w:eastAsia="zh-CN"/>
        </w:rPr>
        <w:t>1.任期质量效益指标。</w:t>
      </w:r>
      <w:r>
        <w:rPr>
          <w:rFonts w:hint="eastAsia" w:ascii="Times New Roman" w:hAnsi="Times New Roman" w:eastAsia="仿宋" w:cs="Times New Roman"/>
          <w:color w:val="auto"/>
          <w:sz w:val="32"/>
          <w:szCs w:val="32"/>
          <w:highlight w:val="none"/>
          <w:lang w:val="en-US" w:eastAsia="zh-CN"/>
        </w:rPr>
        <w:t>“一企一策”确定质量效益指标为：国有资本收益、国有资本保值增值率、资产负债率等指标，质量效益指标分值权重（按百分制）占比70%，任期考核各指标具体考核分值由履行出资人职责部门确定。</w:t>
      </w:r>
    </w:p>
    <w:tbl>
      <w:tblPr>
        <w:tblStyle w:val="8"/>
        <w:tblW w:w="8722" w:type="dxa"/>
        <w:jc w:val="center"/>
        <w:tblInd w:w="0" w:type="dxa"/>
        <w:tblLayout w:type="fixed"/>
        <w:tblCellMar>
          <w:top w:w="0" w:type="dxa"/>
          <w:left w:w="10" w:type="dxa"/>
          <w:bottom w:w="0" w:type="dxa"/>
          <w:right w:w="10" w:type="dxa"/>
        </w:tblCellMar>
      </w:tblPr>
      <w:tblGrid>
        <w:gridCol w:w="734"/>
        <w:gridCol w:w="1016"/>
        <w:gridCol w:w="1090"/>
        <w:gridCol w:w="819"/>
        <w:gridCol w:w="4420"/>
        <w:gridCol w:w="643"/>
      </w:tblGrid>
      <w:tr>
        <w:tblPrEx>
          <w:tblLayout w:type="fixed"/>
          <w:tblCellMar>
            <w:top w:w="0" w:type="dxa"/>
            <w:left w:w="10" w:type="dxa"/>
            <w:bottom w:w="0" w:type="dxa"/>
            <w:right w:w="10" w:type="dxa"/>
          </w:tblCellMar>
        </w:tblPrEx>
        <w:trPr>
          <w:trHeight w:val="638" w:hRule="exact"/>
          <w:jc w:val="center"/>
        </w:trPr>
        <w:tc>
          <w:tcPr>
            <w:tcW w:w="734"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140"/>
              <w:jc w:val="left"/>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序号</w:t>
            </w:r>
          </w:p>
        </w:tc>
        <w:tc>
          <w:tcPr>
            <w:tcW w:w="1016"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302" w:lineRule="exact"/>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质量效益指标</w:t>
            </w:r>
          </w:p>
        </w:tc>
        <w:tc>
          <w:tcPr>
            <w:tcW w:w="1090"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93" w:lineRule="exact"/>
              <w:ind w:left="0" w:right="0" w:firstLine="0"/>
              <w:jc w:val="center"/>
              <w:rPr>
                <w:rFonts w:hint="eastAsia" w:ascii="黑体" w:hAnsi="黑体" w:eastAsia="黑体" w:cs="黑体"/>
                <w:color w:val="auto"/>
                <w:spacing w:val="0"/>
                <w:w w:val="100"/>
                <w:position w:val="0"/>
                <w:sz w:val="24"/>
                <w:szCs w:val="24"/>
                <w:highlight w:val="none"/>
              </w:rPr>
            </w:pPr>
            <w:r>
              <w:rPr>
                <w:rFonts w:hint="eastAsia" w:ascii="黑体" w:hAnsi="黑体" w:eastAsia="黑体" w:cs="黑体"/>
                <w:color w:val="auto"/>
                <w:spacing w:val="0"/>
                <w:w w:val="100"/>
                <w:position w:val="0"/>
                <w:sz w:val="24"/>
                <w:szCs w:val="24"/>
                <w:highlight w:val="none"/>
              </w:rPr>
              <w:t>分值</w:t>
            </w:r>
          </w:p>
          <w:p>
            <w:pPr>
              <w:pStyle w:val="14"/>
              <w:keepNext w:val="0"/>
              <w:keepLines w:val="0"/>
              <w:widowControl w:val="0"/>
              <w:shd w:val="clear" w:color="auto" w:fill="auto"/>
              <w:bidi w:val="0"/>
              <w:spacing w:before="0" w:after="0" w:line="293" w:lineRule="exact"/>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（70分）</w:t>
            </w:r>
          </w:p>
        </w:tc>
        <w:tc>
          <w:tcPr>
            <w:tcW w:w="819"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307" w:lineRule="exact"/>
              <w:ind w:left="0" w:right="0" w:firstLine="0"/>
              <w:jc w:val="both"/>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目标值</w:t>
            </w:r>
          </w:p>
        </w:tc>
        <w:tc>
          <w:tcPr>
            <w:tcW w:w="4420"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考核计分标准</w:t>
            </w:r>
          </w:p>
        </w:tc>
        <w:tc>
          <w:tcPr>
            <w:tcW w:w="643" w:type="dxa"/>
            <w:tcBorders>
              <w:top w:val="single" w:color="auto" w:sz="4" w:space="0"/>
              <w:left w:val="single" w:color="auto" w:sz="4" w:space="0"/>
              <w:right w:val="single" w:color="auto" w:sz="4" w:space="0"/>
            </w:tcBorders>
            <w:shd w:val="clear" w:color="auto" w:fill="FFFFFF"/>
            <w:vAlign w:val="top"/>
          </w:tcPr>
          <w:p>
            <w:pPr>
              <w:pStyle w:val="15"/>
              <w:keepNext w:val="0"/>
              <w:keepLines w:val="0"/>
              <w:widowControl w:val="0"/>
              <w:shd w:val="clear" w:color="auto" w:fill="auto"/>
              <w:bidi w:val="0"/>
              <w:spacing w:before="0" w:after="0" w:line="240" w:lineRule="auto"/>
              <w:ind w:left="0" w:right="0" w:firstLine="0"/>
              <w:jc w:val="both"/>
              <w:rPr>
                <w:rFonts w:hint="eastAsia" w:ascii="黑体" w:hAnsi="黑体" w:eastAsia="黑体" w:cs="黑体"/>
                <w:color w:val="auto"/>
                <w:sz w:val="24"/>
                <w:szCs w:val="24"/>
                <w:highlight w:val="none"/>
                <w:lang w:eastAsia="zh-CN"/>
              </w:rPr>
            </w:pPr>
          </w:p>
          <w:p>
            <w:pPr>
              <w:pStyle w:val="15"/>
              <w:keepNext w:val="0"/>
              <w:keepLines w:val="0"/>
              <w:widowControl w:val="0"/>
              <w:shd w:val="clear" w:color="auto" w:fill="auto"/>
              <w:bidi w:val="0"/>
              <w:spacing w:before="0" w:after="0" w:line="240" w:lineRule="auto"/>
              <w:ind w:left="0" w:right="0" w:firstLine="0"/>
              <w:jc w:val="both"/>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计分</w:t>
            </w:r>
          </w:p>
        </w:tc>
      </w:tr>
      <w:tr>
        <w:tblPrEx>
          <w:tblLayout w:type="fixed"/>
          <w:tblCellMar>
            <w:top w:w="0" w:type="dxa"/>
            <w:left w:w="10" w:type="dxa"/>
            <w:bottom w:w="0" w:type="dxa"/>
            <w:right w:w="10" w:type="dxa"/>
          </w:tblCellMar>
        </w:tblPrEx>
        <w:trPr>
          <w:trHeight w:val="931" w:hRule="exact"/>
          <w:jc w:val="center"/>
        </w:trPr>
        <w:tc>
          <w:tcPr>
            <w:tcW w:w="734"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280"/>
              <w:jc w:val="left"/>
              <w:rPr>
                <w:color w:val="auto"/>
                <w:sz w:val="24"/>
                <w:szCs w:val="24"/>
                <w:highlight w:val="none"/>
              </w:rPr>
            </w:pPr>
            <w:r>
              <w:rPr>
                <w:rFonts w:ascii="Times New Roman" w:hAnsi="Times New Roman" w:eastAsia="Times New Roman" w:cs="Times New Roman"/>
                <w:color w:val="auto"/>
                <w:spacing w:val="0"/>
                <w:w w:val="100"/>
                <w:position w:val="0"/>
                <w:sz w:val="24"/>
                <w:szCs w:val="24"/>
                <w:highlight w:val="none"/>
              </w:rPr>
              <w:t>1</w:t>
            </w:r>
          </w:p>
        </w:tc>
        <w:tc>
          <w:tcPr>
            <w:tcW w:w="1016"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02"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国有资本收益</w:t>
            </w:r>
          </w:p>
        </w:tc>
        <w:tc>
          <w:tcPr>
            <w:tcW w:w="1090"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30</w:t>
            </w:r>
          </w:p>
        </w:tc>
        <w:tc>
          <w:tcPr>
            <w:tcW w:w="819" w:type="dxa"/>
            <w:tcBorders>
              <w:top w:val="single" w:color="auto" w:sz="4" w:space="0"/>
              <w:left w:val="single" w:color="auto" w:sz="4" w:space="0"/>
            </w:tcBorders>
            <w:shd w:val="clear" w:color="auto" w:fill="FFFFFF"/>
            <w:vAlign w:val="top"/>
          </w:tcPr>
          <w:p>
            <w:pPr>
              <w:widowControl w:val="0"/>
              <w:rPr>
                <w:rFonts w:hint="eastAsia" w:ascii="仿宋" w:hAnsi="仿宋" w:eastAsia="仿宋" w:cs="仿宋"/>
                <w:color w:val="auto"/>
                <w:sz w:val="24"/>
                <w:szCs w:val="24"/>
                <w:highlight w:val="none"/>
              </w:rPr>
            </w:pPr>
          </w:p>
        </w:tc>
        <w:tc>
          <w:tcPr>
            <w:tcW w:w="4420"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307" w:lineRule="exact"/>
              <w:ind w:left="0" w:right="0" w:firstLine="0"/>
              <w:jc w:val="both"/>
              <w:rPr>
                <w:rFonts w:hint="eastAsia" w:ascii="Times New Roman" w:hAnsi="Times New Roman" w:eastAsia="仿宋" w:cs="Times New Roman"/>
                <w:b w:val="0"/>
                <w:bCs w:val="0"/>
                <w:color w:val="auto"/>
                <w:spacing w:val="0"/>
                <w:w w:val="100"/>
                <w:position w:val="0"/>
                <w:sz w:val="24"/>
                <w:szCs w:val="24"/>
                <w:highlight w:val="none"/>
              </w:rPr>
            </w:pPr>
            <w:r>
              <w:rPr>
                <w:rFonts w:hint="eastAsia" w:ascii="Times New Roman" w:hAnsi="Times New Roman" w:eastAsia="仿宋" w:cs="Times New Roman"/>
                <w:b w:val="0"/>
                <w:bCs w:val="0"/>
                <w:color w:val="auto"/>
                <w:spacing w:val="0"/>
                <w:w w:val="100"/>
                <w:position w:val="0"/>
                <w:sz w:val="24"/>
                <w:szCs w:val="24"/>
                <w:highlight w:val="none"/>
              </w:rPr>
              <w:t>完成目标值，得</w:t>
            </w:r>
            <w:r>
              <w:rPr>
                <w:rFonts w:hint="default" w:ascii="Times New Roman" w:hAnsi="Times New Roman" w:eastAsia="仿宋" w:cs="Times New Roman"/>
                <w:b w:val="0"/>
                <w:bCs w:val="0"/>
                <w:color w:val="auto"/>
                <w:spacing w:val="0"/>
                <w:w w:val="100"/>
                <w:position w:val="0"/>
                <w:sz w:val="24"/>
                <w:szCs w:val="24"/>
                <w:highlight w:val="none"/>
              </w:rPr>
              <w:t>27</w:t>
            </w:r>
            <w:r>
              <w:rPr>
                <w:rFonts w:hint="eastAsia" w:ascii="Times New Roman" w:hAnsi="Times New Roman" w:eastAsia="仿宋" w:cs="Times New Roman"/>
                <w:b w:val="0"/>
                <w:bCs w:val="0"/>
                <w:color w:val="auto"/>
                <w:spacing w:val="0"/>
                <w:w w:val="100"/>
                <w:position w:val="0"/>
                <w:sz w:val="24"/>
                <w:szCs w:val="24"/>
                <w:highlight w:val="none"/>
              </w:rPr>
              <w:t>分；每超过目标值5%</w:t>
            </w:r>
            <w:r>
              <w:rPr>
                <w:rFonts w:hint="eastAsia" w:ascii="Times New Roman" w:hAnsi="Times New Roman" w:eastAsia="仿宋" w:cs="Times New Roman"/>
                <w:b w:val="0"/>
                <w:bCs w:val="0"/>
                <w:color w:val="auto"/>
                <w:spacing w:val="0"/>
                <w:w w:val="100"/>
                <w:position w:val="0"/>
                <w:sz w:val="24"/>
                <w:szCs w:val="24"/>
                <w:highlight w:val="none"/>
                <w:lang w:eastAsia="zh-CN"/>
              </w:rPr>
              <w:t>，</w:t>
            </w:r>
            <w:r>
              <w:rPr>
                <w:rFonts w:hint="eastAsia" w:ascii="Times New Roman" w:hAnsi="Times New Roman" w:eastAsia="仿宋" w:cs="Times New Roman"/>
                <w:b w:val="0"/>
                <w:bCs w:val="0"/>
                <w:color w:val="auto"/>
                <w:spacing w:val="0"/>
                <w:w w:val="100"/>
                <w:position w:val="0"/>
                <w:sz w:val="24"/>
                <w:szCs w:val="24"/>
                <w:highlight w:val="none"/>
              </w:rPr>
              <w:t>加</w:t>
            </w:r>
            <w:r>
              <w:rPr>
                <w:rFonts w:hint="eastAsia" w:ascii="Times New Roman" w:hAnsi="Times New Roman" w:eastAsia="仿宋" w:cs="Times New Roman"/>
                <w:b w:val="0"/>
                <w:bCs w:val="0"/>
                <w:color w:val="auto"/>
                <w:spacing w:val="0"/>
                <w:w w:val="100"/>
                <w:position w:val="0"/>
                <w:sz w:val="24"/>
                <w:szCs w:val="24"/>
                <w:highlight w:val="none"/>
                <w:lang w:val="en-US" w:eastAsia="en-US"/>
              </w:rPr>
              <w:t>0.5</w:t>
            </w:r>
            <w:r>
              <w:rPr>
                <w:rFonts w:hint="eastAsia" w:ascii="Times New Roman" w:hAnsi="Times New Roman" w:eastAsia="仿宋" w:cs="Times New Roman"/>
                <w:b w:val="0"/>
                <w:bCs w:val="0"/>
                <w:color w:val="auto"/>
                <w:spacing w:val="0"/>
                <w:w w:val="100"/>
                <w:position w:val="0"/>
                <w:sz w:val="24"/>
                <w:szCs w:val="24"/>
                <w:highlight w:val="none"/>
              </w:rPr>
              <w:t>分，最多加3分；每低于目标值5%</w:t>
            </w:r>
            <w:r>
              <w:rPr>
                <w:rFonts w:hint="eastAsia" w:ascii="Times New Roman" w:hAnsi="Times New Roman" w:eastAsia="仿宋" w:cs="Times New Roman"/>
                <w:b w:val="0"/>
                <w:bCs w:val="0"/>
                <w:color w:val="auto"/>
                <w:spacing w:val="0"/>
                <w:w w:val="100"/>
                <w:position w:val="0"/>
                <w:sz w:val="24"/>
                <w:szCs w:val="24"/>
                <w:highlight w:val="none"/>
                <w:lang w:eastAsia="zh-CN"/>
              </w:rPr>
              <w:t>，</w:t>
            </w:r>
            <w:r>
              <w:rPr>
                <w:rFonts w:hint="eastAsia" w:ascii="Times New Roman" w:hAnsi="Times New Roman" w:eastAsia="仿宋" w:cs="Times New Roman"/>
                <w:b w:val="0"/>
                <w:bCs w:val="0"/>
                <w:color w:val="auto"/>
                <w:spacing w:val="0"/>
                <w:w w:val="100"/>
                <w:position w:val="0"/>
                <w:sz w:val="24"/>
                <w:szCs w:val="24"/>
                <w:highlight w:val="none"/>
              </w:rPr>
              <w:t>扣基本分</w:t>
            </w:r>
            <w:r>
              <w:rPr>
                <w:rFonts w:hint="eastAsia" w:ascii="Times New Roman" w:hAnsi="Times New Roman" w:eastAsia="仿宋" w:cs="Times New Roman"/>
                <w:b w:val="0"/>
                <w:bCs w:val="0"/>
                <w:color w:val="auto"/>
                <w:spacing w:val="0"/>
                <w:w w:val="100"/>
                <w:position w:val="0"/>
                <w:sz w:val="24"/>
                <w:szCs w:val="24"/>
                <w:highlight w:val="none"/>
                <w:lang w:val="en-US" w:eastAsia="en-US"/>
              </w:rPr>
              <w:t>0.5</w:t>
            </w:r>
            <w:r>
              <w:rPr>
                <w:rFonts w:hint="eastAsia" w:ascii="Times New Roman" w:hAnsi="Times New Roman" w:eastAsia="仿宋" w:cs="Times New Roman"/>
                <w:b w:val="0"/>
                <w:bCs w:val="0"/>
                <w:color w:val="auto"/>
                <w:spacing w:val="0"/>
                <w:w w:val="100"/>
                <w:position w:val="0"/>
                <w:sz w:val="24"/>
                <w:szCs w:val="24"/>
                <w:highlight w:val="none"/>
              </w:rPr>
              <w:t>分，最多扣27分。</w:t>
            </w:r>
          </w:p>
        </w:tc>
        <w:tc>
          <w:tcPr>
            <w:tcW w:w="643" w:type="dxa"/>
            <w:tcBorders>
              <w:top w:val="single" w:color="auto" w:sz="4" w:space="0"/>
              <w:left w:val="single" w:color="auto" w:sz="4" w:space="0"/>
              <w:right w:val="single" w:color="auto" w:sz="4" w:space="0"/>
            </w:tcBorders>
            <w:shd w:val="clear" w:color="auto" w:fill="FFFFFF"/>
            <w:vAlign w:val="top"/>
          </w:tcPr>
          <w:p>
            <w:pPr>
              <w:widowControl w:val="0"/>
              <w:rPr>
                <w:color w:val="auto"/>
                <w:sz w:val="24"/>
                <w:szCs w:val="24"/>
                <w:highlight w:val="none"/>
              </w:rPr>
            </w:pPr>
          </w:p>
        </w:tc>
      </w:tr>
      <w:tr>
        <w:tblPrEx>
          <w:tblLayout w:type="fixed"/>
          <w:tblCellMar>
            <w:top w:w="0" w:type="dxa"/>
            <w:left w:w="10" w:type="dxa"/>
            <w:bottom w:w="0" w:type="dxa"/>
            <w:right w:w="10" w:type="dxa"/>
          </w:tblCellMar>
        </w:tblPrEx>
        <w:trPr>
          <w:trHeight w:val="1234" w:hRule="exact"/>
          <w:jc w:val="center"/>
        </w:trPr>
        <w:tc>
          <w:tcPr>
            <w:tcW w:w="734"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280"/>
              <w:jc w:val="left"/>
              <w:rPr>
                <w:color w:val="auto"/>
                <w:sz w:val="24"/>
                <w:szCs w:val="24"/>
                <w:highlight w:val="none"/>
              </w:rPr>
            </w:pPr>
            <w:r>
              <w:rPr>
                <w:rFonts w:ascii="Times New Roman" w:hAnsi="Times New Roman" w:eastAsia="Times New Roman" w:cs="Times New Roman"/>
                <w:color w:val="auto"/>
                <w:spacing w:val="0"/>
                <w:w w:val="100"/>
                <w:position w:val="0"/>
                <w:sz w:val="24"/>
                <w:szCs w:val="24"/>
                <w:highlight w:val="none"/>
              </w:rPr>
              <w:t>2</w:t>
            </w:r>
          </w:p>
        </w:tc>
        <w:tc>
          <w:tcPr>
            <w:tcW w:w="1016"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93"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国有资本保值增值率</w:t>
            </w:r>
          </w:p>
        </w:tc>
        <w:tc>
          <w:tcPr>
            <w:tcW w:w="1090"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20</w:t>
            </w:r>
          </w:p>
        </w:tc>
        <w:tc>
          <w:tcPr>
            <w:tcW w:w="819" w:type="dxa"/>
            <w:tcBorders>
              <w:top w:val="single" w:color="auto" w:sz="4" w:space="0"/>
              <w:left w:val="single" w:color="auto" w:sz="4" w:space="0"/>
            </w:tcBorders>
            <w:shd w:val="clear" w:color="auto" w:fill="FFFFFF"/>
            <w:vAlign w:val="top"/>
          </w:tcPr>
          <w:p>
            <w:pPr>
              <w:widowControl w:val="0"/>
              <w:rPr>
                <w:rFonts w:hint="eastAsia" w:ascii="仿宋" w:hAnsi="仿宋" w:eastAsia="仿宋" w:cs="仿宋"/>
                <w:color w:val="auto"/>
                <w:sz w:val="24"/>
                <w:szCs w:val="24"/>
                <w:highlight w:val="none"/>
              </w:rPr>
            </w:pPr>
          </w:p>
        </w:tc>
        <w:tc>
          <w:tcPr>
            <w:tcW w:w="4420"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307" w:lineRule="exact"/>
              <w:ind w:left="0" w:right="0" w:firstLine="0"/>
              <w:jc w:val="both"/>
              <w:rPr>
                <w:rFonts w:hint="eastAsia" w:ascii="Times New Roman" w:hAnsi="Times New Roman" w:eastAsia="仿宋" w:cs="Times New Roman"/>
                <w:b w:val="0"/>
                <w:bCs w:val="0"/>
                <w:color w:val="auto"/>
                <w:spacing w:val="0"/>
                <w:w w:val="100"/>
                <w:position w:val="0"/>
                <w:sz w:val="24"/>
                <w:szCs w:val="24"/>
                <w:highlight w:val="none"/>
                <w:lang w:eastAsia="zh-CN"/>
              </w:rPr>
            </w:pPr>
            <w:r>
              <w:rPr>
                <w:rFonts w:hint="eastAsia" w:ascii="Times New Roman" w:hAnsi="Times New Roman" w:eastAsia="仿宋" w:cs="Times New Roman"/>
                <w:b w:val="0"/>
                <w:bCs w:val="0"/>
                <w:color w:val="auto"/>
                <w:spacing w:val="0"/>
                <w:w w:val="100"/>
                <w:position w:val="0"/>
                <w:sz w:val="24"/>
                <w:szCs w:val="24"/>
                <w:highlight w:val="none"/>
              </w:rPr>
              <w:t>完成目标值，得18分；每超过目标值</w:t>
            </w:r>
            <w:r>
              <w:rPr>
                <w:rFonts w:hint="eastAsia" w:ascii="Times New Roman" w:hAnsi="Times New Roman" w:eastAsia="仿宋" w:cs="Times New Roman"/>
                <w:b w:val="0"/>
                <w:bCs w:val="0"/>
                <w:color w:val="auto"/>
                <w:spacing w:val="0"/>
                <w:w w:val="100"/>
                <w:position w:val="0"/>
                <w:sz w:val="24"/>
                <w:szCs w:val="24"/>
                <w:highlight w:val="none"/>
                <w:lang w:val="en-US" w:eastAsia="en-US"/>
              </w:rPr>
              <w:t>0.1</w:t>
            </w:r>
            <w:r>
              <w:rPr>
                <w:rFonts w:hint="eastAsia" w:ascii="Times New Roman" w:hAnsi="Times New Roman" w:eastAsia="仿宋" w:cs="Times New Roman"/>
                <w:b w:val="0"/>
                <w:bCs w:val="0"/>
                <w:color w:val="auto"/>
                <w:spacing w:val="0"/>
                <w:w w:val="100"/>
                <w:position w:val="0"/>
                <w:sz w:val="24"/>
                <w:szCs w:val="24"/>
                <w:highlight w:val="none"/>
              </w:rPr>
              <w:t>个百分点，加</w:t>
            </w:r>
            <w:r>
              <w:rPr>
                <w:rFonts w:hint="eastAsia" w:ascii="Times New Roman" w:hAnsi="Times New Roman" w:eastAsia="仿宋" w:cs="Times New Roman"/>
                <w:b w:val="0"/>
                <w:bCs w:val="0"/>
                <w:color w:val="auto"/>
                <w:spacing w:val="0"/>
                <w:w w:val="100"/>
                <w:position w:val="0"/>
                <w:sz w:val="24"/>
                <w:szCs w:val="24"/>
                <w:highlight w:val="none"/>
                <w:lang w:val="en-US" w:eastAsia="en-US"/>
              </w:rPr>
              <w:t>0.5</w:t>
            </w:r>
            <w:r>
              <w:rPr>
                <w:rFonts w:hint="eastAsia" w:ascii="Times New Roman" w:hAnsi="Times New Roman" w:eastAsia="仿宋" w:cs="Times New Roman"/>
                <w:b w:val="0"/>
                <w:bCs w:val="0"/>
                <w:color w:val="auto"/>
                <w:spacing w:val="0"/>
                <w:w w:val="100"/>
                <w:position w:val="0"/>
                <w:sz w:val="24"/>
                <w:szCs w:val="24"/>
                <w:highlight w:val="none"/>
              </w:rPr>
              <w:t>分，最多加2分；每低于目标值</w:t>
            </w:r>
            <w:r>
              <w:rPr>
                <w:rFonts w:hint="eastAsia" w:ascii="Times New Roman" w:hAnsi="Times New Roman" w:eastAsia="仿宋" w:cs="Times New Roman"/>
                <w:b w:val="0"/>
                <w:bCs w:val="0"/>
                <w:color w:val="auto"/>
                <w:spacing w:val="0"/>
                <w:w w:val="100"/>
                <w:position w:val="0"/>
                <w:sz w:val="24"/>
                <w:szCs w:val="24"/>
                <w:highlight w:val="none"/>
                <w:lang w:val="en-US" w:eastAsia="en-US"/>
              </w:rPr>
              <w:t>0.1</w:t>
            </w:r>
            <w:r>
              <w:rPr>
                <w:rFonts w:hint="eastAsia" w:ascii="Times New Roman" w:hAnsi="Times New Roman" w:eastAsia="仿宋" w:cs="Times New Roman"/>
                <w:b w:val="0"/>
                <w:bCs w:val="0"/>
                <w:color w:val="auto"/>
                <w:spacing w:val="0"/>
                <w:w w:val="100"/>
                <w:position w:val="0"/>
                <w:sz w:val="24"/>
                <w:szCs w:val="24"/>
                <w:highlight w:val="none"/>
              </w:rPr>
              <w:t>个百分点</w:t>
            </w:r>
            <w:r>
              <w:rPr>
                <w:rFonts w:hint="eastAsia" w:ascii="Times New Roman" w:hAnsi="Times New Roman" w:eastAsia="仿宋" w:cs="Times New Roman"/>
                <w:b w:val="0"/>
                <w:bCs w:val="0"/>
                <w:color w:val="auto"/>
                <w:spacing w:val="0"/>
                <w:w w:val="100"/>
                <w:position w:val="0"/>
                <w:sz w:val="24"/>
                <w:szCs w:val="24"/>
                <w:highlight w:val="none"/>
                <w:lang w:eastAsia="zh-CN"/>
              </w:rPr>
              <w:t>，</w:t>
            </w:r>
            <w:r>
              <w:rPr>
                <w:rFonts w:hint="eastAsia" w:ascii="Times New Roman" w:hAnsi="Times New Roman" w:eastAsia="仿宋" w:cs="Times New Roman"/>
                <w:b w:val="0"/>
                <w:bCs w:val="0"/>
                <w:color w:val="auto"/>
                <w:spacing w:val="0"/>
                <w:w w:val="100"/>
                <w:position w:val="0"/>
                <w:sz w:val="24"/>
                <w:szCs w:val="24"/>
                <w:highlight w:val="none"/>
              </w:rPr>
              <w:t>扣基本分</w:t>
            </w:r>
            <w:r>
              <w:rPr>
                <w:rFonts w:hint="eastAsia" w:ascii="Times New Roman" w:hAnsi="Times New Roman" w:eastAsia="仿宋" w:cs="Times New Roman"/>
                <w:b w:val="0"/>
                <w:bCs w:val="0"/>
                <w:color w:val="auto"/>
                <w:spacing w:val="0"/>
                <w:w w:val="100"/>
                <w:position w:val="0"/>
                <w:sz w:val="24"/>
                <w:szCs w:val="24"/>
                <w:highlight w:val="none"/>
                <w:lang w:val="en-US" w:eastAsia="en-US"/>
              </w:rPr>
              <w:t>0.5</w:t>
            </w:r>
            <w:r>
              <w:rPr>
                <w:rFonts w:hint="eastAsia" w:ascii="Times New Roman" w:hAnsi="Times New Roman" w:eastAsia="仿宋" w:cs="Times New Roman"/>
                <w:b w:val="0"/>
                <w:bCs w:val="0"/>
                <w:color w:val="auto"/>
                <w:spacing w:val="0"/>
                <w:w w:val="100"/>
                <w:position w:val="0"/>
                <w:sz w:val="24"/>
                <w:szCs w:val="24"/>
                <w:highlight w:val="none"/>
              </w:rPr>
              <w:t>分，最多扣18分</w:t>
            </w:r>
            <w:r>
              <w:rPr>
                <w:rFonts w:hint="eastAsia" w:ascii="Times New Roman" w:hAnsi="Times New Roman" w:eastAsia="仿宋" w:cs="Times New Roman"/>
                <w:b w:val="0"/>
                <w:bCs w:val="0"/>
                <w:color w:val="auto"/>
                <w:spacing w:val="0"/>
                <w:w w:val="100"/>
                <w:position w:val="0"/>
                <w:sz w:val="24"/>
                <w:szCs w:val="24"/>
                <w:highlight w:val="none"/>
                <w:lang w:eastAsia="zh-CN"/>
              </w:rPr>
              <w:t>。</w:t>
            </w:r>
          </w:p>
        </w:tc>
        <w:tc>
          <w:tcPr>
            <w:tcW w:w="643" w:type="dxa"/>
            <w:tcBorders>
              <w:top w:val="single" w:color="auto" w:sz="4" w:space="0"/>
              <w:left w:val="single" w:color="auto" w:sz="4" w:space="0"/>
              <w:right w:val="single" w:color="auto" w:sz="4" w:space="0"/>
            </w:tcBorders>
            <w:shd w:val="clear" w:color="auto" w:fill="FFFFFF"/>
            <w:vAlign w:val="top"/>
          </w:tcPr>
          <w:p>
            <w:pPr>
              <w:widowControl w:val="0"/>
              <w:rPr>
                <w:color w:val="auto"/>
                <w:sz w:val="24"/>
                <w:szCs w:val="24"/>
                <w:highlight w:val="none"/>
              </w:rPr>
            </w:pPr>
          </w:p>
        </w:tc>
      </w:tr>
      <w:tr>
        <w:tblPrEx>
          <w:tblLayout w:type="fixed"/>
          <w:tblCellMar>
            <w:top w:w="0" w:type="dxa"/>
            <w:left w:w="10" w:type="dxa"/>
            <w:bottom w:w="0" w:type="dxa"/>
            <w:right w:w="10" w:type="dxa"/>
          </w:tblCellMar>
        </w:tblPrEx>
        <w:trPr>
          <w:trHeight w:val="2323" w:hRule="exact"/>
          <w:jc w:val="center"/>
        </w:trPr>
        <w:tc>
          <w:tcPr>
            <w:tcW w:w="734"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280"/>
              <w:jc w:val="left"/>
              <w:rPr>
                <w:color w:val="auto"/>
                <w:sz w:val="24"/>
                <w:szCs w:val="24"/>
                <w:highlight w:val="none"/>
              </w:rPr>
            </w:pPr>
            <w:r>
              <w:rPr>
                <w:rFonts w:ascii="Times New Roman" w:hAnsi="Times New Roman" w:eastAsia="Times New Roman" w:cs="Times New Roman"/>
                <w:color w:val="auto"/>
                <w:spacing w:val="0"/>
                <w:w w:val="100"/>
                <w:position w:val="0"/>
                <w:sz w:val="24"/>
                <w:szCs w:val="24"/>
                <w:highlight w:val="none"/>
              </w:rPr>
              <w:t>3</w:t>
            </w:r>
          </w:p>
        </w:tc>
        <w:tc>
          <w:tcPr>
            <w:tcW w:w="1016"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资产负债率</w:t>
            </w:r>
          </w:p>
        </w:tc>
        <w:tc>
          <w:tcPr>
            <w:tcW w:w="1090"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420"/>
              <w:jc w:val="left"/>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20</w:t>
            </w:r>
          </w:p>
        </w:tc>
        <w:tc>
          <w:tcPr>
            <w:tcW w:w="819" w:type="dxa"/>
            <w:tcBorders>
              <w:top w:val="single" w:color="auto" w:sz="4" w:space="0"/>
              <w:left w:val="single" w:color="auto" w:sz="4" w:space="0"/>
              <w:bottom w:val="single" w:color="auto" w:sz="4" w:space="0"/>
            </w:tcBorders>
            <w:shd w:val="clear" w:color="auto" w:fill="FFFFFF"/>
            <w:vAlign w:val="top"/>
          </w:tcPr>
          <w:p>
            <w:pPr>
              <w:widowControl w:val="0"/>
              <w:rPr>
                <w:rFonts w:hint="eastAsia" w:ascii="仿宋" w:hAnsi="仿宋" w:eastAsia="仿宋" w:cs="仿宋"/>
                <w:color w:val="auto"/>
                <w:sz w:val="24"/>
                <w:szCs w:val="24"/>
                <w:highlight w:val="none"/>
              </w:rPr>
            </w:pPr>
          </w:p>
        </w:tc>
        <w:tc>
          <w:tcPr>
            <w:tcW w:w="4420" w:type="dxa"/>
            <w:tcBorders>
              <w:top w:val="single" w:color="auto" w:sz="4" w:space="0"/>
              <w:left w:val="single" w:color="auto" w:sz="4" w:space="0"/>
              <w:bottom w:val="single" w:color="auto" w:sz="4" w:space="0"/>
            </w:tcBorders>
            <w:shd w:val="clear" w:color="auto" w:fill="FFFFFF"/>
            <w:vAlign w:val="bottom"/>
          </w:tcPr>
          <w:p>
            <w:pPr>
              <w:pStyle w:val="14"/>
              <w:keepNext w:val="0"/>
              <w:keepLines w:val="0"/>
              <w:widowControl w:val="0"/>
              <w:shd w:val="clear" w:color="auto" w:fill="auto"/>
              <w:bidi w:val="0"/>
              <w:spacing w:before="0" w:after="0" w:line="307" w:lineRule="exact"/>
              <w:ind w:left="0" w:right="0" w:firstLine="0"/>
              <w:jc w:val="both"/>
              <w:rPr>
                <w:rFonts w:hint="eastAsia" w:ascii="Times New Roman" w:hAnsi="Times New Roman" w:eastAsia="仿宋" w:cs="Times New Roman"/>
                <w:b w:val="0"/>
                <w:bCs w:val="0"/>
                <w:color w:val="auto"/>
                <w:spacing w:val="0"/>
                <w:w w:val="100"/>
                <w:position w:val="0"/>
                <w:sz w:val="24"/>
                <w:szCs w:val="24"/>
                <w:highlight w:val="none"/>
              </w:rPr>
            </w:pPr>
            <w:r>
              <w:rPr>
                <w:rFonts w:hint="eastAsia" w:ascii="Times New Roman" w:hAnsi="Times New Roman" w:eastAsia="仿宋" w:cs="Times New Roman"/>
                <w:b w:val="0"/>
                <w:bCs w:val="0"/>
                <w:color w:val="auto"/>
                <w:spacing w:val="0"/>
                <w:w w:val="100"/>
                <w:position w:val="0"/>
                <w:sz w:val="24"/>
                <w:szCs w:val="24"/>
                <w:highlight w:val="none"/>
              </w:rPr>
              <w:t>企业资产负债率65%（含65%）以下的，该指标考核计20分；资产负债率65%—70%（含70%）</w:t>
            </w:r>
            <w:r>
              <w:rPr>
                <w:rFonts w:hint="eastAsia" w:ascii="Times New Roman" w:hAnsi="Times New Roman" w:eastAsia="仿宋" w:cs="Times New Roman"/>
                <w:b w:val="0"/>
                <w:bCs w:val="0"/>
                <w:color w:val="auto"/>
                <w:spacing w:val="0"/>
                <w:w w:val="100"/>
                <w:position w:val="0"/>
                <w:sz w:val="24"/>
                <w:szCs w:val="24"/>
                <w:highlight w:val="none"/>
                <w:lang w:eastAsia="zh-CN"/>
              </w:rPr>
              <w:t>，</w:t>
            </w:r>
            <w:r>
              <w:rPr>
                <w:rFonts w:hint="eastAsia" w:ascii="Times New Roman" w:hAnsi="Times New Roman" w:eastAsia="仿宋" w:cs="Times New Roman"/>
                <w:b w:val="0"/>
                <w:bCs w:val="0"/>
                <w:color w:val="auto"/>
                <w:spacing w:val="0"/>
                <w:w w:val="100"/>
                <w:position w:val="0"/>
                <w:sz w:val="24"/>
                <w:szCs w:val="24"/>
                <w:highlight w:val="none"/>
              </w:rPr>
              <w:t>该项指标18分；资产负债率临界线（70%）以上的，完成目标值得基本分16分，每低于目标值</w:t>
            </w:r>
            <w:r>
              <w:rPr>
                <w:rFonts w:hint="eastAsia" w:ascii="Times New Roman" w:hAnsi="Times New Roman" w:eastAsia="仿宋" w:cs="Times New Roman"/>
                <w:b w:val="0"/>
                <w:bCs w:val="0"/>
                <w:color w:val="auto"/>
                <w:spacing w:val="0"/>
                <w:w w:val="100"/>
                <w:position w:val="0"/>
                <w:sz w:val="24"/>
                <w:szCs w:val="24"/>
                <w:highlight w:val="none"/>
                <w:lang w:val="en-US" w:eastAsia="en-US"/>
              </w:rPr>
              <w:t>0.5</w:t>
            </w:r>
            <w:r>
              <w:rPr>
                <w:rFonts w:hint="eastAsia" w:ascii="Times New Roman" w:hAnsi="Times New Roman" w:eastAsia="仿宋" w:cs="Times New Roman"/>
                <w:b w:val="0"/>
                <w:bCs w:val="0"/>
                <w:color w:val="auto"/>
                <w:spacing w:val="0"/>
                <w:w w:val="100"/>
                <w:position w:val="0"/>
                <w:sz w:val="24"/>
                <w:szCs w:val="24"/>
                <w:highlight w:val="none"/>
              </w:rPr>
              <w:t>个百分点，加</w:t>
            </w:r>
            <w:r>
              <w:rPr>
                <w:rFonts w:hint="eastAsia" w:ascii="Times New Roman" w:hAnsi="Times New Roman" w:eastAsia="仿宋" w:cs="Times New Roman"/>
                <w:b w:val="0"/>
                <w:bCs w:val="0"/>
                <w:color w:val="auto"/>
                <w:spacing w:val="0"/>
                <w:w w:val="100"/>
                <w:position w:val="0"/>
                <w:sz w:val="24"/>
                <w:szCs w:val="24"/>
                <w:highlight w:val="none"/>
                <w:lang w:val="en-US" w:eastAsia="en-US"/>
              </w:rPr>
              <w:t>0.5</w:t>
            </w:r>
            <w:r>
              <w:rPr>
                <w:rFonts w:hint="eastAsia" w:ascii="Times New Roman" w:hAnsi="Times New Roman" w:eastAsia="仿宋" w:cs="Times New Roman"/>
                <w:b w:val="0"/>
                <w:bCs w:val="0"/>
                <w:color w:val="auto"/>
                <w:spacing w:val="0"/>
                <w:w w:val="100"/>
                <w:position w:val="0"/>
                <w:sz w:val="24"/>
                <w:szCs w:val="24"/>
                <w:highlight w:val="none"/>
              </w:rPr>
              <w:t>分，最多加2分，每高于目标值</w:t>
            </w:r>
            <w:r>
              <w:rPr>
                <w:rFonts w:hint="eastAsia" w:ascii="Times New Roman" w:hAnsi="Times New Roman" w:eastAsia="仿宋" w:cs="Times New Roman"/>
                <w:b w:val="0"/>
                <w:bCs w:val="0"/>
                <w:color w:val="auto"/>
                <w:spacing w:val="0"/>
                <w:w w:val="100"/>
                <w:position w:val="0"/>
                <w:sz w:val="24"/>
                <w:szCs w:val="24"/>
                <w:highlight w:val="none"/>
                <w:lang w:val="en-US" w:eastAsia="en-US"/>
              </w:rPr>
              <w:t>0.5</w:t>
            </w:r>
            <w:r>
              <w:rPr>
                <w:rFonts w:hint="eastAsia" w:ascii="Times New Roman" w:hAnsi="Times New Roman" w:eastAsia="仿宋" w:cs="Times New Roman"/>
                <w:b w:val="0"/>
                <w:bCs w:val="0"/>
                <w:color w:val="auto"/>
                <w:spacing w:val="0"/>
                <w:w w:val="100"/>
                <w:position w:val="0"/>
                <w:sz w:val="24"/>
                <w:szCs w:val="24"/>
                <w:highlight w:val="none"/>
              </w:rPr>
              <w:t>个百分点，扣基本分</w:t>
            </w:r>
            <w:r>
              <w:rPr>
                <w:rFonts w:hint="eastAsia" w:ascii="Times New Roman" w:hAnsi="Times New Roman" w:eastAsia="仿宋" w:cs="Times New Roman"/>
                <w:b w:val="0"/>
                <w:bCs w:val="0"/>
                <w:color w:val="auto"/>
                <w:spacing w:val="0"/>
                <w:w w:val="100"/>
                <w:position w:val="0"/>
                <w:sz w:val="24"/>
                <w:szCs w:val="24"/>
                <w:highlight w:val="none"/>
                <w:lang w:val="en-US" w:eastAsia="en-US"/>
              </w:rPr>
              <w:t>0.5</w:t>
            </w:r>
            <w:r>
              <w:rPr>
                <w:rFonts w:hint="eastAsia" w:ascii="Times New Roman" w:hAnsi="Times New Roman" w:eastAsia="仿宋" w:cs="Times New Roman"/>
                <w:b w:val="0"/>
                <w:bCs w:val="0"/>
                <w:color w:val="auto"/>
                <w:spacing w:val="0"/>
                <w:w w:val="100"/>
                <w:position w:val="0"/>
                <w:sz w:val="24"/>
                <w:szCs w:val="24"/>
                <w:highlight w:val="none"/>
              </w:rPr>
              <w:t>分，最多扣16分。</w:t>
            </w:r>
          </w:p>
        </w:tc>
        <w:tc>
          <w:tcPr>
            <w:tcW w:w="643"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color w:val="auto"/>
                <w:sz w:val="24"/>
                <w:szCs w:val="24"/>
                <w:highlight w:val="none"/>
              </w:rPr>
            </w:pPr>
          </w:p>
        </w:tc>
      </w:tr>
    </w:tbl>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3" w:firstLineChars="200"/>
        <w:jc w:val="both"/>
        <w:textAlignment w:val="auto"/>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b/>
          <w:bCs/>
          <w:color w:val="auto"/>
          <w:sz w:val="32"/>
          <w:szCs w:val="32"/>
          <w:highlight w:val="none"/>
          <w:lang w:val="en-US" w:eastAsia="zh-CN"/>
        </w:rPr>
        <w:t>2.任期内年度考核结果运用。</w:t>
      </w:r>
      <w:r>
        <w:rPr>
          <w:rFonts w:hint="eastAsia" w:ascii="Times New Roman" w:hAnsi="Times New Roman" w:eastAsia="仿宋" w:cs="Times New Roman"/>
          <w:color w:val="auto"/>
          <w:sz w:val="32"/>
          <w:szCs w:val="32"/>
          <w:highlight w:val="none"/>
          <w:lang w:val="en-US" w:eastAsia="zh-CN"/>
        </w:rPr>
        <w:t>以任期内3个年度经营业绩考核结果的算术平均数的30%计算得分，任期不足3年的按任期内实占年度算术平均数计算得分。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eastAsia" w:ascii="Times New Roman" w:hAnsi="Times New Roman" w:eastAsia="仿宋" w:cs="Times New Roman"/>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（三）考核分级与结果运用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right="0" w:rightChars="0" w:firstLine="640" w:firstLineChars="200"/>
        <w:jc w:val="both"/>
        <w:textAlignment w:val="auto"/>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任期经营业绩考核综合得分与考核分级、考核评价系数对应关系为:</w:t>
      </w:r>
    </w:p>
    <w:tbl>
      <w:tblPr>
        <w:tblStyle w:val="8"/>
        <w:tblW w:w="8799" w:type="dxa"/>
        <w:jc w:val="center"/>
        <w:tblInd w:w="0" w:type="dxa"/>
        <w:tblLayout w:type="fixed"/>
        <w:tblCellMar>
          <w:top w:w="0" w:type="dxa"/>
          <w:left w:w="10" w:type="dxa"/>
          <w:bottom w:w="0" w:type="dxa"/>
          <w:right w:w="10" w:type="dxa"/>
        </w:tblCellMar>
      </w:tblPr>
      <w:tblGrid>
        <w:gridCol w:w="1349"/>
        <w:gridCol w:w="1205"/>
        <w:gridCol w:w="4699"/>
        <w:gridCol w:w="1546"/>
      </w:tblGrid>
      <w:tr>
        <w:tblPrEx>
          <w:tblLayout w:type="fixed"/>
          <w:tblCellMar>
            <w:top w:w="0" w:type="dxa"/>
            <w:left w:w="10" w:type="dxa"/>
            <w:bottom w:w="0" w:type="dxa"/>
            <w:right w:w="10" w:type="dxa"/>
          </w:tblCellMar>
        </w:tblPrEx>
        <w:trPr>
          <w:trHeight w:val="955" w:hRule="exact"/>
          <w:jc w:val="center"/>
        </w:trPr>
        <w:tc>
          <w:tcPr>
            <w:tcW w:w="1349" w:type="dxa"/>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49" w:lineRule="exact"/>
              <w:ind w:left="0" w:right="0" w:firstLine="0"/>
              <w:jc w:val="both"/>
              <w:rPr>
                <w:rFonts w:hint="eastAsia" w:ascii="黑体" w:hAnsi="黑体" w:eastAsia="黑体" w:cs="黑体"/>
                <w:color w:val="auto"/>
                <w:sz w:val="24"/>
                <w:szCs w:val="24"/>
                <w:highlight w:val="none"/>
              </w:rPr>
            </w:pPr>
            <w:r>
              <w:rPr>
                <w:rFonts w:hint="eastAsia" w:ascii="仿宋" w:hAnsi="仿宋" w:eastAsia="仿宋" w:cs="仿宋"/>
                <w:color w:val="auto"/>
                <w:spacing w:val="0"/>
                <w:w w:val="100"/>
                <w:position w:val="0"/>
                <w:sz w:val="24"/>
                <w:szCs w:val="24"/>
                <w:highlight w:val="none"/>
              </w:rPr>
              <w:t>任期综合考核评级及评价系数确定</w:t>
            </w:r>
          </w:p>
        </w:tc>
        <w:tc>
          <w:tcPr>
            <w:tcW w:w="1205"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考核分级</w:t>
            </w:r>
          </w:p>
        </w:tc>
        <w:tc>
          <w:tcPr>
            <w:tcW w:w="4699"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任期综合考核评价得分</w:t>
            </w:r>
          </w:p>
        </w:tc>
        <w:tc>
          <w:tcPr>
            <w:tcW w:w="1546" w:type="dxa"/>
            <w:tcBorders>
              <w:top w:val="single" w:color="auto" w:sz="4" w:space="0"/>
              <w:left w:val="single" w:color="auto" w:sz="4" w:space="0"/>
              <w:right w:val="single" w:color="auto" w:sz="4" w:space="0"/>
            </w:tcBorders>
            <w:shd w:val="clear" w:color="auto" w:fill="FFFFFF"/>
            <w:vAlign w:val="bottom"/>
          </w:tcPr>
          <w:p>
            <w:pPr>
              <w:pStyle w:val="14"/>
              <w:keepNext w:val="0"/>
              <w:keepLines w:val="0"/>
              <w:widowControl w:val="0"/>
              <w:shd w:val="clear" w:color="auto" w:fill="auto"/>
              <w:bidi w:val="0"/>
              <w:spacing w:before="0" w:after="0" w:line="312" w:lineRule="exact"/>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对应任期综合考核评价系数</w:t>
            </w:r>
          </w:p>
        </w:tc>
      </w:tr>
      <w:tr>
        <w:tblPrEx>
          <w:tblLayout w:type="fixed"/>
          <w:tblCellMar>
            <w:top w:w="0" w:type="dxa"/>
            <w:left w:w="10" w:type="dxa"/>
            <w:bottom w:w="0" w:type="dxa"/>
            <w:right w:w="10" w:type="dxa"/>
          </w:tblCellMar>
        </w:tblPrEx>
        <w:trPr>
          <w:trHeight w:val="1373" w:hRule="exact"/>
          <w:jc w:val="center"/>
        </w:trPr>
        <w:tc>
          <w:tcPr>
            <w:tcW w:w="1349" w:type="dxa"/>
            <w:vMerge w:val="continue"/>
            <w:tcBorders>
              <w:left w:val="single" w:color="auto" w:sz="4" w:space="0"/>
            </w:tcBorders>
            <w:shd w:val="clear" w:color="auto" w:fill="FFFFFF"/>
            <w:vAlign w:val="center"/>
          </w:tcPr>
          <w:p>
            <w:pPr>
              <w:rPr>
                <w:color w:val="auto"/>
                <w:sz w:val="24"/>
                <w:szCs w:val="24"/>
                <w:highlight w:val="none"/>
              </w:rPr>
            </w:pPr>
          </w:p>
        </w:tc>
        <w:tc>
          <w:tcPr>
            <w:tcW w:w="1205"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09" w:lineRule="exact"/>
              <w:ind w:left="0" w:right="0" w:firstLine="0"/>
              <w:jc w:val="center"/>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lang w:val="en-US" w:eastAsia="en-US"/>
              </w:rPr>
              <w:t>A</w:t>
            </w:r>
            <w:r>
              <w:rPr>
                <w:rFonts w:hint="eastAsia" w:ascii="Times New Roman" w:hAnsi="Times New Roman" w:eastAsia="仿宋" w:cs="Times New Roman"/>
                <w:color w:val="auto"/>
                <w:spacing w:val="0"/>
                <w:w w:val="100"/>
                <w:position w:val="0"/>
                <w:sz w:val="24"/>
                <w:szCs w:val="24"/>
                <w:highlight w:val="none"/>
              </w:rPr>
              <w:t>级</w:t>
            </w:r>
          </w:p>
        </w:tc>
        <w:tc>
          <w:tcPr>
            <w:tcW w:w="4699" w:type="dxa"/>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309" w:lineRule="exact"/>
              <w:ind w:left="0" w:right="0" w:firstLine="0"/>
              <w:jc w:val="both"/>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lang w:val="en-US" w:eastAsia="zh-CN"/>
              </w:rPr>
              <w:t>Z</w:t>
            </w:r>
            <w:r>
              <w:rPr>
                <w:rFonts w:hint="default" w:ascii="Arial" w:hAnsi="Arial" w:eastAsia="宋体" w:cs="Arial"/>
                <w:color w:val="auto"/>
                <w:spacing w:val="0"/>
                <w:w w:val="100"/>
                <w:position w:val="0"/>
                <w:sz w:val="24"/>
                <w:szCs w:val="24"/>
                <w:highlight w:val="none"/>
                <w:lang w:val="en-US" w:eastAsia="zh-CN"/>
              </w:rPr>
              <w:t>≥</w:t>
            </w:r>
            <w:r>
              <w:rPr>
                <w:rFonts w:hint="default" w:ascii="Times New Roman" w:hAnsi="Times New Roman" w:eastAsia="仿宋" w:cs="Times New Roman"/>
                <w:color w:val="auto"/>
                <w:spacing w:val="0"/>
                <w:w w:val="100"/>
                <w:position w:val="0"/>
                <w:sz w:val="24"/>
                <w:szCs w:val="24"/>
                <w:highlight w:val="none"/>
              </w:rPr>
              <w:t>90</w:t>
            </w:r>
            <w:r>
              <w:rPr>
                <w:rFonts w:hint="eastAsia" w:ascii="Times New Roman" w:hAnsi="Times New Roman" w:eastAsia="仿宋" w:cs="Times New Roman"/>
                <w:color w:val="auto"/>
                <w:spacing w:val="0"/>
                <w:w w:val="100"/>
                <w:position w:val="0"/>
                <w:sz w:val="24"/>
                <w:szCs w:val="24"/>
                <w:highlight w:val="none"/>
              </w:rPr>
              <w:t>分，且经营现金流量为正，任期内各年度党委书记抓基层党建述职评议考核综合评价意见和党风廉政建设考核结果为“较好”或“合格”及以上等次</w:t>
            </w:r>
          </w:p>
        </w:tc>
        <w:tc>
          <w:tcPr>
            <w:tcW w:w="1546" w:type="dxa"/>
            <w:tcBorders>
              <w:top w:val="single" w:color="auto" w:sz="4" w:space="0"/>
              <w:left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309" w:lineRule="exact"/>
              <w:ind w:left="0" w:right="0" w:firstLine="0"/>
              <w:jc w:val="center"/>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rPr>
              <w:t>1</w:t>
            </w:r>
          </w:p>
        </w:tc>
      </w:tr>
      <w:tr>
        <w:tblPrEx>
          <w:tblLayout w:type="fixed"/>
          <w:tblCellMar>
            <w:top w:w="0" w:type="dxa"/>
            <w:left w:w="10" w:type="dxa"/>
            <w:bottom w:w="0" w:type="dxa"/>
            <w:right w:w="10" w:type="dxa"/>
          </w:tblCellMar>
        </w:tblPrEx>
        <w:trPr>
          <w:trHeight w:val="1368" w:hRule="exact"/>
          <w:jc w:val="center"/>
        </w:trPr>
        <w:tc>
          <w:tcPr>
            <w:tcW w:w="1349" w:type="dxa"/>
            <w:vMerge w:val="continue"/>
            <w:tcBorders>
              <w:left w:val="single" w:color="auto" w:sz="4" w:space="0"/>
            </w:tcBorders>
            <w:shd w:val="clear" w:color="auto" w:fill="FFFFFF"/>
            <w:vAlign w:val="center"/>
          </w:tcPr>
          <w:p>
            <w:pPr>
              <w:rPr>
                <w:color w:val="auto"/>
                <w:sz w:val="24"/>
                <w:szCs w:val="24"/>
                <w:highlight w:val="none"/>
              </w:rPr>
            </w:pPr>
          </w:p>
        </w:tc>
        <w:tc>
          <w:tcPr>
            <w:tcW w:w="1205"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09" w:lineRule="exact"/>
              <w:ind w:left="0" w:right="0" w:firstLine="0"/>
              <w:jc w:val="center"/>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lang w:val="en-US" w:eastAsia="en-US"/>
              </w:rPr>
              <w:t>B</w:t>
            </w:r>
            <w:r>
              <w:rPr>
                <w:rFonts w:hint="eastAsia" w:ascii="Times New Roman" w:hAnsi="Times New Roman" w:eastAsia="仿宋" w:cs="Times New Roman"/>
                <w:color w:val="auto"/>
                <w:spacing w:val="0"/>
                <w:w w:val="100"/>
                <w:position w:val="0"/>
                <w:sz w:val="24"/>
                <w:szCs w:val="24"/>
                <w:highlight w:val="none"/>
              </w:rPr>
              <w:t>级</w:t>
            </w:r>
          </w:p>
        </w:tc>
        <w:tc>
          <w:tcPr>
            <w:tcW w:w="4699" w:type="dxa"/>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309" w:lineRule="exact"/>
              <w:ind w:left="0" w:right="0" w:firstLine="0"/>
              <w:jc w:val="both"/>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rPr>
              <w:t>75分</w:t>
            </w:r>
            <w:r>
              <w:rPr>
                <w:rFonts w:hint="default" w:ascii="Arial" w:hAnsi="Arial" w:eastAsia="仿宋" w:cs="Arial"/>
                <w:color w:val="auto"/>
                <w:spacing w:val="0"/>
                <w:w w:val="100"/>
                <w:position w:val="0"/>
                <w:sz w:val="24"/>
                <w:szCs w:val="24"/>
                <w:highlight w:val="none"/>
                <w:lang w:val="en-US" w:eastAsia="en-US"/>
              </w:rPr>
              <w:t>≤</w:t>
            </w:r>
            <w:r>
              <w:rPr>
                <w:rFonts w:hint="eastAsia" w:ascii="Times New Roman" w:hAnsi="Times New Roman" w:eastAsia="仿宋" w:cs="Times New Roman"/>
                <w:color w:val="auto"/>
                <w:spacing w:val="0"/>
                <w:w w:val="100"/>
                <w:position w:val="0"/>
                <w:sz w:val="24"/>
                <w:szCs w:val="24"/>
                <w:highlight w:val="none"/>
                <w:lang w:val="en-US" w:eastAsia="en-US"/>
              </w:rPr>
              <w:t>Z</w:t>
            </w:r>
            <w:r>
              <w:rPr>
                <w:rFonts w:hint="eastAsia" w:ascii="Times New Roman" w:hAnsi="Times New Roman" w:eastAsia="仿宋" w:cs="Times New Roman"/>
                <w:color w:val="auto"/>
                <w:spacing w:val="0"/>
                <w:w w:val="100"/>
                <w:position w:val="0"/>
                <w:sz w:val="24"/>
                <w:szCs w:val="24"/>
                <w:highlight w:val="none"/>
                <w:lang w:val="en-US" w:eastAsia="zh-CN"/>
              </w:rPr>
              <w:t>&lt;</w:t>
            </w:r>
            <w:r>
              <w:rPr>
                <w:rFonts w:hint="eastAsia" w:ascii="Times New Roman" w:hAnsi="Times New Roman" w:eastAsia="仿宋" w:cs="Times New Roman"/>
                <w:color w:val="auto"/>
                <w:spacing w:val="0"/>
                <w:w w:val="100"/>
                <w:position w:val="0"/>
                <w:sz w:val="24"/>
                <w:szCs w:val="24"/>
                <w:highlight w:val="none"/>
                <w:lang w:val="en-US" w:eastAsia="en-US"/>
              </w:rPr>
              <w:t>90</w:t>
            </w:r>
            <w:r>
              <w:rPr>
                <w:rFonts w:hint="eastAsia" w:ascii="Times New Roman" w:hAnsi="Times New Roman" w:eastAsia="仿宋" w:cs="Times New Roman"/>
                <w:color w:val="auto"/>
                <w:spacing w:val="0"/>
                <w:w w:val="100"/>
                <w:position w:val="0"/>
                <w:sz w:val="24"/>
                <w:szCs w:val="24"/>
                <w:highlight w:val="none"/>
              </w:rPr>
              <w:t>分，且任期内各年度党委书记抓基层党建述职评议考核综合评价意见和党风廉政建设考核结果为“较好”或“合格”及以上等次</w:t>
            </w:r>
          </w:p>
        </w:tc>
        <w:tc>
          <w:tcPr>
            <w:tcW w:w="1546" w:type="dxa"/>
            <w:tcBorders>
              <w:top w:val="single" w:color="auto" w:sz="4" w:space="0"/>
              <w:left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309" w:lineRule="exact"/>
              <w:ind w:left="0" w:right="0" w:firstLine="0"/>
              <w:jc w:val="center"/>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lang w:val="en-US" w:eastAsia="en-US"/>
              </w:rPr>
              <w:t>0.9</w:t>
            </w:r>
          </w:p>
        </w:tc>
      </w:tr>
      <w:tr>
        <w:tblPrEx>
          <w:tblLayout w:type="fixed"/>
          <w:tblCellMar>
            <w:top w:w="0" w:type="dxa"/>
            <w:left w:w="10" w:type="dxa"/>
            <w:bottom w:w="0" w:type="dxa"/>
            <w:right w:w="10" w:type="dxa"/>
          </w:tblCellMar>
        </w:tblPrEx>
        <w:trPr>
          <w:trHeight w:val="840" w:hRule="exact"/>
          <w:jc w:val="center"/>
        </w:trPr>
        <w:tc>
          <w:tcPr>
            <w:tcW w:w="1349" w:type="dxa"/>
            <w:vMerge w:val="continue"/>
            <w:tcBorders>
              <w:left w:val="single" w:color="auto" w:sz="4" w:space="0"/>
            </w:tcBorders>
            <w:shd w:val="clear" w:color="auto" w:fill="FFFFFF"/>
            <w:vAlign w:val="center"/>
          </w:tcPr>
          <w:p>
            <w:pPr>
              <w:rPr>
                <w:color w:val="auto"/>
                <w:sz w:val="24"/>
                <w:szCs w:val="24"/>
                <w:highlight w:val="none"/>
              </w:rPr>
            </w:pPr>
          </w:p>
        </w:tc>
        <w:tc>
          <w:tcPr>
            <w:tcW w:w="1205"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09" w:lineRule="exact"/>
              <w:ind w:left="0" w:right="0" w:firstLine="0"/>
              <w:jc w:val="center"/>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lang w:val="en-US" w:eastAsia="en-US"/>
              </w:rPr>
              <w:t>C</w:t>
            </w:r>
            <w:r>
              <w:rPr>
                <w:rFonts w:hint="eastAsia" w:ascii="Times New Roman" w:hAnsi="Times New Roman" w:eastAsia="仿宋" w:cs="Times New Roman"/>
                <w:color w:val="auto"/>
                <w:spacing w:val="0"/>
                <w:w w:val="100"/>
                <w:position w:val="0"/>
                <w:sz w:val="24"/>
                <w:szCs w:val="24"/>
                <w:highlight w:val="none"/>
              </w:rPr>
              <w:t>级</w:t>
            </w:r>
          </w:p>
        </w:tc>
        <w:tc>
          <w:tcPr>
            <w:tcW w:w="4699"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09" w:lineRule="exact"/>
              <w:ind w:left="0" w:right="0" w:firstLine="0"/>
              <w:jc w:val="both"/>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rPr>
              <w:t>60分</w:t>
            </w:r>
            <w:r>
              <w:rPr>
                <w:rFonts w:hint="default" w:ascii="Arial" w:hAnsi="Arial" w:eastAsia="仿宋" w:cs="Arial"/>
                <w:color w:val="auto"/>
                <w:spacing w:val="0"/>
                <w:w w:val="100"/>
                <w:position w:val="0"/>
                <w:sz w:val="24"/>
                <w:szCs w:val="24"/>
                <w:highlight w:val="none"/>
                <w:lang w:val="en-US" w:eastAsia="en-US"/>
              </w:rPr>
              <w:t>≤</w:t>
            </w:r>
            <w:r>
              <w:rPr>
                <w:rFonts w:hint="eastAsia" w:ascii="Times New Roman" w:hAnsi="Times New Roman" w:eastAsia="仿宋" w:cs="Times New Roman"/>
                <w:color w:val="auto"/>
                <w:spacing w:val="0"/>
                <w:w w:val="100"/>
                <w:position w:val="0"/>
                <w:sz w:val="24"/>
                <w:szCs w:val="24"/>
                <w:highlight w:val="none"/>
                <w:lang w:val="en-US" w:eastAsia="en-US"/>
              </w:rPr>
              <w:t>Z</w:t>
            </w:r>
            <w:r>
              <w:rPr>
                <w:rFonts w:hint="eastAsia" w:ascii="Times New Roman" w:hAnsi="Times New Roman" w:eastAsia="仿宋" w:cs="Times New Roman"/>
                <w:color w:val="auto"/>
                <w:spacing w:val="0"/>
                <w:w w:val="100"/>
                <w:position w:val="0"/>
                <w:sz w:val="24"/>
                <w:szCs w:val="24"/>
                <w:highlight w:val="none"/>
                <w:lang w:val="en-US" w:eastAsia="zh-CN"/>
              </w:rPr>
              <w:t>&lt;</w:t>
            </w:r>
            <w:r>
              <w:rPr>
                <w:rFonts w:hint="eastAsia" w:ascii="Times New Roman" w:hAnsi="Times New Roman" w:eastAsia="仿宋" w:cs="Times New Roman"/>
                <w:color w:val="auto"/>
                <w:spacing w:val="0"/>
                <w:w w:val="100"/>
                <w:position w:val="0"/>
                <w:sz w:val="24"/>
                <w:szCs w:val="24"/>
                <w:highlight w:val="none"/>
                <w:lang w:val="en-US" w:eastAsia="en-US"/>
              </w:rPr>
              <w:t>75</w:t>
            </w:r>
            <w:r>
              <w:rPr>
                <w:rFonts w:hint="eastAsia" w:ascii="Times New Roman" w:hAnsi="Times New Roman" w:eastAsia="仿宋" w:cs="Times New Roman"/>
                <w:color w:val="auto"/>
                <w:spacing w:val="0"/>
                <w:w w:val="100"/>
                <w:position w:val="0"/>
                <w:sz w:val="24"/>
                <w:szCs w:val="24"/>
                <w:highlight w:val="none"/>
              </w:rPr>
              <w:t>分</w:t>
            </w:r>
          </w:p>
        </w:tc>
        <w:tc>
          <w:tcPr>
            <w:tcW w:w="1546" w:type="dxa"/>
            <w:tcBorders>
              <w:top w:val="single" w:color="auto" w:sz="4" w:space="0"/>
              <w:left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309" w:lineRule="exact"/>
              <w:ind w:left="0" w:right="0" w:firstLine="0"/>
              <w:jc w:val="center"/>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lang w:val="en-US" w:eastAsia="en-US"/>
              </w:rPr>
              <w:t>0.8</w:t>
            </w:r>
          </w:p>
        </w:tc>
      </w:tr>
      <w:tr>
        <w:tblPrEx>
          <w:tblLayout w:type="fixed"/>
          <w:tblCellMar>
            <w:top w:w="0" w:type="dxa"/>
            <w:left w:w="10" w:type="dxa"/>
            <w:bottom w:w="0" w:type="dxa"/>
            <w:right w:w="10" w:type="dxa"/>
          </w:tblCellMar>
        </w:tblPrEx>
        <w:trPr>
          <w:trHeight w:val="946" w:hRule="exact"/>
          <w:jc w:val="center"/>
        </w:trPr>
        <w:tc>
          <w:tcPr>
            <w:tcW w:w="1349" w:type="dxa"/>
            <w:vMerge w:val="continue"/>
            <w:tcBorders>
              <w:left w:val="single" w:color="auto" w:sz="4" w:space="0"/>
              <w:bottom w:val="single" w:color="auto" w:sz="4" w:space="0"/>
            </w:tcBorders>
            <w:shd w:val="clear" w:color="auto" w:fill="FFFFFF"/>
            <w:vAlign w:val="center"/>
          </w:tcPr>
          <w:p>
            <w:pPr>
              <w:rPr>
                <w:color w:val="auto"/>
                <w:sz w:val="24"/>
                <w:szCs w:val="24"/>
                <w:highlight w:val="none"/>
              </w:rPr>
            </w:pPr>
          </w:p>
        </w:tc>
        <w:tc>
          <w:tcPr>
            <w:tcW w:w="1205"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309" w:lineRule="exact"/>
              <w:ind w:left="0" w:right="0" w:firstLine="0"/>
              <w:jc w:val="center"/>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lang w:val="en-US" w:eastAsia="en-US"/>
              </w:rPr>
              <w:t>D</w:t>
            </w:r>
            <w:r>
              <w:rPr>
                <w:rFonts w:hint="eastAsia" w:ascii="Times New Roman" w:hAnsi="Times New Roman" w:eastAsia="仿宋" w:cs="Times New Roman"/>
                <w:color w:val="auto"/>
                <w:spacing w:val="0"/>
                <w:w w:val="100"/>
                <w:position w:val="0"/>
                <w:sz w:val="24"/>
                <w:szCs w:val="24"/>
                <w:highlight w:val="none"/>
              </w:rPr>
              <w:t>级</w:t>
            </w:r>
          </w:p>
        </w:tc>
        <w:tc>
          <w:tcPr>
            <w:tcW w:w="4699"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309" w:lineRule="exact"/>
              <w:ind w:left="0" w:right="0" w:firstLine="0"/>
              <w:jc w:val="both"/>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lang w:val="en-US" w:eastAsia="en-US"/>
              </w:rPr>
              <w:t>Z&lt;60</w:t>
            </w:r>
            <w:r>
              <w:rPr>
                <w:rFonts w:hint="eastAsia" w:ascii="Times New Roman" w:hAnsi="Times New Roman" w:eastAsia="仿宋" w:cs="Times New Roman"/>
                <w:color w:val="auto"/>
                <w:spacing w:val="0"/>
                <w:w w:val="100"/>
                <w:position w:val="0"/>
                <w:sz w:val="24"/>
                <w:szCs w:val="24"/>
                <w:highlight w:val="none"/>
              </w:rPr>
              <w:t>分</w:t>
            </w:r>
          </w:p>
        </w:tc>
        <w:tc>
          <w:tcPr>
            <w:tcW w:w="15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309" w:lineRule="exact"/>
              <w:ind w:left="0" w:right="0" w:firstLine="0"/>
              <w:jc w:val="center"/>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rPr>
              <w:t>在</w:t>
            </w:r>
            <w:r>
              <w:rPr>
                <w:rFonts w:hint="eastAsia" w:ascii="Times New Roman" w:hAnsi="Times New Roman" w:eastAsia="仿宋" w:cs="Times New Roman"/>
                <w:color w:val="auto"/>
                <w:spacing w:val="0"/>
                <w:w w:val="100"/>
                <w:position w:val="0"/>
                <w:sz w:val="24"/>
                <w:szCs w:val="24"/>
                <w:highlight w:val="none"/>
                <w:lang w:val="en-US" w:eastAsia="en-US"/>
              </w:rPr>
              <w:t>0—0.7</w:t>
            </w:r>
            <w:r>
              <w:rPr>
                <w:rFonts w:hint="eastAsia" w:ascii="Times New Roman" w:hAnsi="Times New Roman" w:eastAsia="仿宋" w:cs="Times New Roman"/>
                <w:color w:val="auto"/>
                <w:spacing w:val="0"/>
                <w:w w:val="100"/>
                <w:position w:val="0"/>
                <w:sz w:val="24"/>
                <w:szCs w:val="24"/>
                <w:highlight w:val="none"/>
              </w:rPr>
              <w:t>之间确定</w:t>
            </w:r>
          </w:p>
        </w:tc>
      </w:tr>
    </w:tbl>
    <w:p>
      <w:pPr>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br w:type="page"/>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320" w:line="540" w:lineRule="exact"/>
        <w:ind w:left="0" w:right="0" w:firstLine="0"/>
        <w:jc w:val="both"/>
        <w:textAlignment w:val="auto"/>
        <w:rPr>
          <w:rFonts w:hint="default" w:ascii="黑体" w:hAnsi="黑体" w:eastAsia="黑体" w:cs="黑体"/>
          <w:b/>
          <w:bCs/>
          <w:color w:val="auto"/>
          <w:spacing w:val="0"/>
          <w:w w:val="100"/>
          <w:position w:val="0"/>
          <w:sz w:val="32"/>
          <w:szCs w:val="32"/>
          <w:highlight w:val="none"/>
          <w:lang w:val="en-US" w:eastAsia="zh-CN"/>
        </w:rPr>
      </w:pPr>
      <w:r>
        <w:rPr>
          <w:rFonts w:hint="eastAsia" w:ascii="黑体" w:hAnsi="黑体" w:eastAsia="黑体" w:cs="黑体"/>
          <w:color w:val="auto"/>
          <w:spacing w:val="0"/>
          <w:w w:val="100"/>
          <w:position w:val="0"/>
          <w:sz w:val="32"/>
          <w:szCs w:val="32"/>
          <w:highlight w:val="none"/>
        </w:rPr>
        <w:t>附件</w:t>
      </w:r>
      <w:r>
        <w:rPr>
          <w:rFonts w:hint="eastAsia" w:ascii="黑体" w:hAnsi="黑体" w:eastAsia="黑体" w:cs="黑体"/>
          <w:b/>
          <w:bCs/>
          <w:color w:val="auto"/>
          <w:spacing w:val="0"/>
          <w:w w:val="100"/>
          <w:position w:val="0"/>
          <w:sz w:val="32"/>
          <w:szCs w:val="32"/>
          <w:highlight w:val="none"/>
          <w:lang w:val="en-US" w:eastAsia="zh-CN"/>
        </w:rPr>
        <w:t>3</w:t>
      </w:r>
    </w:p>
    <w:p>
      <w:pPr>
        <w:keepNext w:val="0"/>
        <w:keepLines w:val="0"/>
        <w:pageBreakBefore w:val="0"/>
        <w:widowControl w:val="0"/>
        <w:numPr>
          <w:ilvl w:val="4"/>
          <w:numId w:val="0"/>
        </w:numPr>
        <w:shd w:val="clear" w:color="auto" w:fill="auto"/>
        <w:kinsoku/>
        <w:wordWrap/>
        <w:overflowPunct/>
        <w:topLinePunct w:val="0"/>
        <w:autoSpaceDE/>
        <w:autoSpaceDN/>
        <w:bidi w:val="0"/>
        <w:adjustRightInd/>
        <w:snapToGrid/>
        <w:spacing w:line="540" w:lineRule="exact"/>
        <w:ind w:right="0" w:rightChars="0"/>
        <w:jc w:val="both"/>
        <w:textAlignment w:val="auto"/>
        <w:rPr>
          <w:rFonts w:hint="eastAsia" w:ascii="方正小标宋_GBK" w:hAnsi="方正小标宋_GBK" w:eastAsia="方正小标宋_GBK" w:cs="方正小标宋_GBK"/>
          <w:color w:val="auto"/>
          <w:w w:val="95"/>
          <w:sz w:val="44"/>
          <w:szCs w:val="44"/>
          <w:highlight w:val="none"/>
          <w:lang w:eastAsia="zh-CN"/>
        </w:rPr>
      </w:pPr>
      <w:r>
        <w:rPr>
          <w:rFonts w:hint="eastAsia" w:ascii="方正小标宋_GBK" w:hAnsi="方正小标宋_GBK" w:eastAsia="方正小标宋_GBK" w:cs="方正小标宋_GBK"/>
          <w:color w:val="auto"/>
          <w:w w:val="95"/>
          <w:sz w:val="44"/>
          <w:szCs w:val="44"/>
          <w:highlight w:val="none"/>
          <w:lang w:eastAsia="zh-CN"/>
        </w:rPr>
        <w:t>曲靖市麒麟区工业开发投资（集团）有限公司</w:t>
      </w:r>
    </w:p>
    <w:p>
      <w:pPr>
        <w:keepNext w:val="0"/>
        <w:keepLines w:val="0"/>
        <w:pageBreakBefore w:val="0"/>
        <w:widowControl w:val="0"/>
        <w:numPr>
          <w:ilvl w:val="8"/>
          <w:numId w:val="0"/>
        </w:numPr>
        <w:shd w:val="clear" w:color="auto" w:fill="auto"/>
        <w:kinsoku/>
        <w:wordWrap/>
        <w:overflowPunct/>
        <w:topLinePunct w:val="0"/>
        <w:autoSpaceDE/>
        <w:autoSpaceDN/>
        <w:bidi w:val="0"/>
        <w:adjustRightInd/>
        <w:snapToGrid/>
        <w:spacing w:line="540" w:lineRule="exact"/>
        <w:ind w:leftChars="200" w:right="0" w:rightChars="0"/>
        <w:jc w:val="both"/>
        <w:textAlignment w:val="auto"/>
        <w:rPr>
          <w:rFonts w:hint="eastAsia" w:ascii="方正小标宋_GBK" w:hAnsi="方正小标宋_GBK" w:eastAsia="方正小标宋_GBK" w:cs="方正小标宋_GBK"/>
          <w:color w:val="auto"/>
          <w:w w:val="95"/>
          <w:sz w:val="44"/>
          <w:szCs w:val="44"/>
          <w:highlight w:val="none"/>
          <w:lang w:val="en-US" w:eastAsia="zh-CN"/>
        </w:rPr>
      </w:pPr>
      <w:r>
        <w:rPr>
          <w:rFonts w:hint="eastAsia" w:ascii="方正小标宋_GBK" w:hAnsi="方正小标宋_GBK" w:eastAsia="方正小标宋_GBK" w:cs="方正小标宋_GBK"/>
          <w:color w:val="auto"/>
          <w:w w:val="95"/>
          <w:sz w:val="44"/>
          <w:szCs w:val="44"/>
          <w:highlight w:val="none"/>
          <w:lang w:val="en-US" w:eastAsia="zh-CN"/>
        </w:rPr>
        <w:t>年度（任期）经营业绩考核综合计分细则</w:t>
      </w:r>
    </w:p>
    <w:p>
      <w:pPr>
        <w:keepNext w:val="0"/>
        <w:keepLines w:val="0"/>
        <w:pageBreakBefore w:val="0"/>
        <w:widowControl w:val="0"/>
        <w:numPr>
          <w:ilvl w:val="8"/>
          <w:numId w:val="0"/>
        </w:numPr>
        <w:shd w:val="clear" w:color="auto" w:fill="auto"/>
        <w:kinsoku/>
        <w:wordWrap/>
        <w:overflowPunct/>
        <w:topLinePunct w:val="0"/>
        <w:autoSpaceDE/>
        <w:autoSpaceDN/>
        <w:bidi w:val="0"/>
        <w:adjustRightInd/>
        <w:snapToGrid/>
        <w:spacing w:line="540" w:lineRule="exact"/>
        <w:ind w:leftChars="200" w:right="0" w:rightChars="0"/>
        <w:jc w:val="both"/>
        <w:textAlignment w:val="auto"/>
        <w:rPr>
          <w:rFonts w:hint="eastAsia" w:ascii="方正小标宋_GBK" w:hAnsi="方正小标宋_GBK" w:eastAsia="方正小标宋_GBK" w:cs="方正小标宋_GBK"/>
          <w:color w:val="auto"/>
          <w:w w:val="95"/>
          <w:sz w:val="44"/>
          <w:szCs w:val="44"/>
          <w:highlight w:val="none"/>
          <w:lang w:val="en-US" w:eastAsia="zh-CN"/>
        </w:rPr>
      </w:pPr>
    </w:p>
    <w:p>
      <w:pPr>
        <w:keepNext w:val="0"/>
        <w:keepLines w:val="0"/>
        <w:pageBreakBefore w:val="0"/>
        <w:widowControl w:val="0"/>
        <w:numPr>
          <w:ilvl w:val="8"/>
          <w:numId w:val="0"/>
        </w:numPr>
        <w:shd w:val="clear" w:color="auto" w:fill="auto"/>
        <w:kinsoku/>
        <w:wordWrap/>
        <w:overflowPunct/>
        <w:topLinePunct w:val="0"/>
        <w:autoSpaceDE/>
        <w:autoSpaceDN/>
        <w:bidi w:val="0"/>
        <w:adjustRightInd/>
        <w:snapToGrid/>
        <w:spacing w:line="540" w:lineRule="exact"/>
        <w:ind w:right="0" w:rightChars="0" w:firstLine="608" w:firstLineChars="200"/>
        <w:jc w:val="both"/>
        <w:textAlignment w:val="auto"/>
        <w:rPr>
          <w:rFonts w:hint="eastAsia" w:ascii="黑体" w:hAnsi="黑体" w:eastAsia="黑体" w:cs="黑体"/>
          <w:color w:val="auto"/>
          <w:w w:val="95"/>
          <w:sz w:val="32"/>
          <w:szCs w:val="32"/>
          <w:highlight w:val="none"/>
          <w:lang w:val="en-US" w:eastAsia="zh-CN"/>
        </w:rPr>
      </w:pPr>
      <w:r>
        <w:rPr>
          <w:rFonts w:hint="eastAsia" w:ascii="黑体" w:hAnsi="黑体" w:eastAsia="黑体" w:cs="黑体"/>
          <w:color w:val="auto"/>
          <w:w w:val="95"/>
          <w:sz w:val="32"/>
          <w:szCs w:val="32"/>
          <w:highlight w:val="none"/>
          <w:lang w:val="en-US" w:eastAsia="zh-CN"/>
        </w:rPr>
        <w:t>一、年度经营业绩考核综合计分细则</w:t>
      </w:r>
    </w:p>
    <w:p>
      <w:pPr>
        <w:keepNext w:val="0"/>
        <w:keepLines w:val="0"/>
        <w:pageBreakBefore w:val="0"/>
        <w:widowControl w:val="0"/>
        <w:numPr>
          <w:ilvl w:val="8"/>
          <w:numId w:val="0"/>
        </w:numPr>
        <w:shd w:val="clear" w:color="auto" w:fill="auto"/>
        <w:kinsoku/>
        <w:wordWrap/>
        <w:overflowPunct/>
        <w:topLinePunct w:val="0"/>
        <w:autoSpaceDE/>
        <w:autoSpaceDN/>
        <w:bidi w:val="0"/>
        <w:adjustRightInd/>
        <w:snapToGrid/>
        <w:spacing w:line="540" w:lineRule="exact"/>
        <w:ind w:right="0" w:rightChars="0" w:firstLine="608" w:firstLineChars="200"/>
        <w:jc w:val="both"/>
        <w:textAlignment w:val="auto"/>
        <w:rPr>
          <w:rFonts w:hint="eastAsia" w:ascii="楷体" w:hAnsi="楷体" w:eastAsia="楷体" w:cs="楷体"/>
          <w:color w:val="auto"/>
          <w:w w:val="95"/>
          <w:sz w:val="32"/>
          <w:szCs w:val="32"/>
          <w:highlight w:val="none"/>
          <w:lang w:val="en-US" w:eastAsia="zh-CN"/>
        </w:rPr>
      </w:pPr>
      <w:r>
        <w:rPr>
          <w:rFonts w:hint="eastAsia" w:ascii="楷体" w:hAnsi="楷体" w:eastAsia="楷体" w:cs="楷体"/>
          <w:color w:val="auto"/>
          <w:w w:val="95"/>
          <w:sz w:val="32"/>
          <w:szCs w:val="32"/>
          <w:highlight w:val="none"/>
          <w:lang w:val="en-US" w:eastAsia="zh-CN"/>
        </w:rPr>
        <w:t>（一）年度经营业绩考核综合计分</w:t>
      </w:r>
    </w:p>
    <w:p>
      <w:pPr>
        <w:keepNext w:val="0"/>
        <w:keepLines w:val="0"/>
        <w:pageBreakBefore w:val="0"/>
        <w:widowControl w:val="0"/>
        <w:numPr>
          <w:ilvl w:val="8"/>
          <w:numId w:val="0"/>
        </w:numPr>
        <w:shd w:val="clear" w:color="auto" w:fill="auto"/>
        <w:kinsoku/>
        <w:wordWrap/>
        <w:overflowPunct/>
        <w:topLinePunct w:val="0"/>
        <w:autoSpaceDE/>
        <w:autoSpaceDN/>
        <w:bidi w:val="0"/>
        <w:adjustRightInd/>
        <w:snapToGrid/>
        <w:spacing w:line="540" w:lineRule="exact"/>
        <w:ind w:right="0" w:rightChars="0" w:firstLine="608" w:firstLineChars="200"/>
        <w:jc w:val="both"/>
        <w:textAlignment w:val="auto"/>
        <w:rPr>
          <w:rFonts w:hint="eastAsia" w:ascii="仿宋" w:hAnsi="仿宋" w:eastAsia="仿宋" w:cs="仿宋"/>
          <w:color w:val="auto"/>
          <w:w w:val="95"/>
          <w:sz w:val="32"/>
          <w:szCs w:val="32"/>
          <w:highlight w:val="none"/>
          <w:lang w:val="en-US" w:eastAsia="zh-CN"/>
        </w:rPr>
      </w:pPr>
      <w:r>
        <w:rPr>
          <w:rFonts w:hint="eastAsia" w:ascii="仿宋" w:hAnsi="仿宋" w:eastAsia="仿宋" w:cs="仿宋"/>
          <w:color w:val="auto"/>
          <w:w w:val="95"/>
          <w:sz w:val="32"/>
          <w:szCs w:val="32"/>
          <w:highlight w:val="none"/>
          <w:lang w:val="en-US" w:eastAsia="zh-CN"/>
        </w:rPr>
        <w:t>年度经营业绩考核综合得分（Z）=（质量效益指标得分+短板指标改善评价得分+非经济指标考核评价得分+</w:t>
      </w:r>
      <w:r>
        <w:rPr>
          <w:rFonts w:hint="eastAsia" w:ascii="方正楷体_GBK" w:hAnsi="方正楷体_GBK" w:eastAsia="方正楷体_GBK" w:cs="方正楷体_GBK"/>
          <w:color w:val="auto"/>
          <w:w w:val="95"/>
          <w:sz w:val="32"/>
          <w:szCs w:val="32"/>
          <w:highlight w:val="none"/>
          <w:lang w:val="en-US" w:eastAsia="zh-CN"/>
        </w:rPr>
        <w:t>∑</w:t>
      </w:r>
      <w:r>
        <w:rPr>
          <w:rFonts w:hint="eastAsia" w:ascii="仿宋" w:hAnsi="仿宋" w:eastAsia="仿宋" w:cs="仿宋"/>
          <w:color w:val="auto"/>
          <w:w w:val="95"/>
          <w:sz w:val="32"/>
          <w:szCs w:val="32"/>
          <w:highlight w:val="none"/>
          <w:lang w:val="en-US" w:eastAsia="zh-CN"/>
        </w:rPr>
        <w:t>考核加分-</w:t>
      </w:r>
      <w:r>
        <w:rPr>
          <w:rFonts w:hint="eastAsia" w:ascii="方正楷体_GBK" w:hAnsi="方正楷体_GBK" w:eastAsia="方正楷体_GBK" w:cs="方正楷体_GBK"/>
          <w:color w:val="auto"/>
          <w:w w:val="95"/>
          <w:sz w:val="32"/>
          <w:szCs w:val="32"/>
          <w:highlight w:val="none"/>
          <w:lang w:val="en-US" w:eastAsia="zh-CN"/>
        </w:rPr>
        <w:t>∑</w:t>
      </w:r>
      <w:r>
        <w:rPr>
          <w:rFonts w:hint="eastAsia" w:ascii="仿宋" w:hAnsi="仿宋" w:eastAsia="仿宋" w:cs="仿宋"/>
          <w:color w:val="auto"/>
          <w:w w:val="95"/>
          <w:sz w:val="32"/>
          <w:szCs w:val="32"/>
          <w:highlight w:val="none"/>
          <w:lang w:val="en-US" w:eastAsia="zh-CN"/>
        </w:rPr>
        <w:t>考核扣分）</w:t>
      </w:r>
      <w:r>
        <w:rPr>
          <w:rFonts w:hint="default" w:ascii="Arial" w:hAnsi="Arial" w:eastAsia="仿宋" w:cs="Arial"/>
          <w:color w:val="auto"/>
          <w:w w:val="95"/>
          <w:sz w:val="32"/>
          <w:szCs w:val="32"/>
          <w:highlight w:val="none"/>
          <w:lang w:val="en-US" w:eastAsia="zh-CN"/>
        </w:rPr>
        <w:t>×</w:t>
      </w:r>
      <w:r>
        <w:rPr>
          <w:rFonts w:hint="eastAsia" w:ascii="仿宋" w:hAnsi="仿宋" w:eastAsia="仿宋" w:cs="仿宋"/>
          <w:color w:val="auto"/>
          <w:w w:val="95"/>
          <w:sz w:val="32"/>
          <w:szCs w:val="32"/>
          <w:highlight w:val="none"/>
          <w:lang w:val="en-US" w:eastAsia="zh-CN"/>
        </w:rPr>
        <w:t>70%+企业党建考核得分</w:t>
      </w:r>
      <w:r>
        <w:rPr>
          <w:rFonts w:hint="default" w:ascii="Arial" w:hAnsi="Arial" w:eastAsia="仿宋" w:cs="Arial"/>
          <w:color w:val="auto"/>
          <w:w w:val="95"/>
          <w:sz w:val="32"/>
          <w:szCs w:val="32"/>
          <w:highlight w:val="none"/>
          <w:lang w:val="en-US" w:eastAsia="zh-CN"/>
        </w:rPr>
        <w:t>×</w:t>
      </w:r>
      <w:r>
        <w:rPr>
          <w:rFonts w:hint="eastAsia" w:ascii="仿宋" w:hAnsi="仿宋" w:eastAsia="仿宋" w:cs="仿宋"/>
          <w:color w:val="auto"/>
          <w:w w:val="95"/>
          <w:sz w:val="32"/>
          <w:szCs w:val="32"/>
          <w:highlight w:val="none"/>
          <w:lang w:val="en-US" w:eastAsia="zh-CN"/>
        </w:rPr>
        <w:t>30%。</w:t>
      </w:r>
    </w:p>
    <w:p>
      <w:pPr>
        <w:keepNext w:val="0"/>
        <w:keepLines w:val="0"/>
        <w:pageBreakBefore w:val="0"/>
        <w:widowControl w:val="0"/>
        <w:numPr>
          <w:ilvl w:val="8"/>
          <w:numId w:val="0"/>
        </w:numPr>
        <w:shd w:val="clear" w:color="auto" w:fill="auto"/>
        <w:kinsoku/>
        <w:wordWrap/>
        <w:overflowPunct/>
        <w:topLinePunct w:val="0"/>
        <w:autoSpaceDE/>
        <w:autoSpaceDN/>
        <w:bidi w:val="0"/>
        <w:adjustRightInd/>
        <w:snapToGrid/>
        <w:spacing w:line="540" w:lineRule="exact"/>
        <w:ind w:right="0" w:rightChars="0" w:firstLine="608" w:firstLineChars="200"/>
        <w:jc w:val="both"/>
        <w:textAlignment w:val="auto"/>
        <w:rPr>
          <w:rFonts w:hint="eastAsia" w:ascii="楷体" w:hAnsi="楷体" w:eastAsia="楷体" w:cs="楷体"/>
          <w:color w:val="auto"/>
          <w:w w:val="95"/>
          <w:sz w:val="32"/>
          <w:szCs w:val="32"/>
          <w:highlight w:val="none"/>
          <w:lang w:val="en-US" w:eastAsia="zh-CN"/>
        </w:rPr>
      </w:pPr>
      <w:r>
        <w:rPr>
          <w:rFonts w:hint="eastAsia" w:ascii="楷体" w:hAnsi="楷体" w:eastAsia="楷体" w:cs="楷体"/>
          <w:color w:val="auto"/>
          <w:w w:val="95"/>
          <w:sz w:val="32"/>
          <w:szCs w:val="32"/>
          <w:highlight w:val="none"/>
          <w:lang w:val="en-US" w:eastAsia="zh-CN"/>
        </w:rPr>
        <w:t>（二）年度经营业绩考核各指标计分</w:t>
      </w:r>
    </w:p>
    <w:p>
      <w:pPr>
        <w:keepNext w:val="0"/>
        <w:keepLines w:val="0"/>
        <w:pageBreakBefore w:val="0"/>
        <w:widowControl w:val="0"/>
        <w:numPr>
          <w:ilvl w:val="8"/>
          <w:numId w:val="0"/>
        </w:numPr>
        <w:shd w:val="clear" w:color="auto" w:fill="auto"/>
        <w:kinsoku/>
        <w:wordWrap/>
        <w:overflowPunct/>
        <w:topLinePunct w:val="0"/>
        <w:autoSpaceDE/>
        <w:autoSpaceDN/>
        <w:bidi w:val="0"/>
        <w:adjustRightInd/>
        <w:snapToGrid/>
        <w:spacing w:line="540" w:lineRule="exact"/>
        <w:ind w:right="0" w:rightChars="0" w:firstLine="611" w:firstLineChars="200"/>
        <w:jc w:val="both"/>
        <w:textAlignment w:val="auto"/>
        <w:rPr>
          <w:rFonts w:hint="eastAsia" w:ascii="仿宋" w:hAnsi="仿宋" w:eastAsia="仿宋" w:cs="仿宋"/>
          <w:b/>
          <w:bCs/>
          <w:color w:val="auto"/>
          <w:w w:val="95"/>
          <w:sz w:val="32"/>
          <w:szCs w:val="32"/>
          <w:highlight w:val="none"/>
          <w:lang w:val="en-US" w:eastAsia="zh-CN"/>
        </w:rPr>
      </w:pPr>
      <w:r>
        <w:rPr>
          <w:rFonts w:hint="default" w:ascii="Times New Roman" w:hAnsi="Times New Roman" w:eastAsia="仿宋" w:cs="Times New Roman"/>
          <w:b/>
          <w:bCs/>
          <w:color w:val="auto"/>
          <w:w w:val="95"/>
          <w:sz w:val="32"/>
          <w:szCs w:val="32"/>
          <w:highlight w:val="none"/>
          <w:lang w:val="en-US" w:eastAsia="zh-CN"/>
        </w:rPr>
        <w:t>1</w:t>
      </w:r>
      <w:r>
        <w:rPr>
          <w:rFonts w:hint="eastAsia" w:ascii="仿宋" w:hAnsi="仿宋" w:eastAsia="仿宋" w:cs="仿宋"/>
          <w:b/>
          <w:bCs/>
          <w:color w:val="auto"/>
          <w:w w:val="95"/>
          <w:sz w:val="32"/>
          <w:szCs w:val="32"/>
          <w:highlight w:val="none"/>
          <w:lang w:val="en-US" w:eastAsia="zh-CN"/>
        </w:rPr>
        <w:t>.质量效益指标计分细则</w:t>
      </w:r>
    </w:p>
    <w:p>
      <w:pPr>
        <w:keepNext w:val="0"/>
        <w:keepLines w:val="0"/>
        <w:pageBreakBefore w:val="0"/>
        <w:widowControl w:val="0"/>
        <w:numPr>
          <w:ilvl w:val="8"/>
          <w:numId w:val="0"/>
        </w:numPr>
        <w:shd w:val="clear" w:color="auto" w:fill="auto"/>
        <w:kinsoku/>
        <w:wordWrap/>
        <w:overflowPunct/>
        <w:topLinePunct w:val="0"/>
        <w:autoSpaceDE/>
        <w:autoSpaceDN/>
        <w:bidi w:val="0"/>
        <w:adjustRightInd/>
        <w:snapToGrid/>
        <w:spacing w:line="540" w:lineRule="exact"/>
        <w:ind w:right="0" w:rightChars="0" w:firstLine="608" w:firstLineChars="200"/>
        <w:jc w:val="both"/>
        <w:textAlignment w:val="auto"/>
        <w:rPr>
          <w:rFonts w:hint="eastAsia" w:ascii="仿宋" w:hAnsi="仿宋" w:eastAsia="仿宋" w:cs="仿宋"/>
          <w:color w:val="auto"/>
          <w:w w:val="95"/>
          <w:sz w:val="32"/>
          <w:szCs w:val="32"/>
          <w:highlight w:val="none"/>
          <w:lang w:val="en-US" w:eastAsia="zh-CN"/>
        </w:rPr>
      </w:pPr>
      <w:r>
        <w:rPr>
          <w:rFonts w:hint="eastAsia" w:ascii="仿宋" w:hAnsi="仿宋" w:eastAsia="仿宋" w:cs="仿宋"/>
          <w:color w:val="auto"/>
          <w:w w:val="95"/>
          <w:sz w:val="32"/>
          <w:szCs w:val="32"/>
          <w:highlight w:val="none"/>
          <w:lang w:val="en-US" w:eastAsia="zh-CN"/>
        </w:rPr>
        <w:t>“一企一策”确定质量效益指标为：利润总额或亏损控制目标、国有资本保值增值率、现金利息保障倍数等指标，质量效益指标分值权重占比50%，各具体考核分值权重由履行出资人职责部门确定。</w:t>
      </w:r>
    </w:p>
    <w:tbl>
      <w:tblPr>
        <w:tblStyle w:val="8"/>
        <w:tblW w:w="9159" w:type="dxa"/>
        <w:jc w:val="center"/>
        <w:tblInd w:w="0" w:type="dxa"/>
        <w:tblLayout w:type="fixed"/>
        <w:tblCellMar>
          <w:top w:w="0" w:type="dxa"/>
          <w:left w:w="10" w:type="dxa"/>
          <w:bottom w:w="0" w:type="dxa"/>
          <w:right w:w="10" w:type="dxa"/>
        </w:tblCellMar>
      </w:tblPr>
      <w:tblGrid>
        <w:gridCol w:w="518"/>
        <w:gridCol w:w="1426"/>
        <w:gridCol w:w="1090"/>
        <w:gridCol w:w="797"/>
        <w:gridCol w:w="4714"/>
        <w:gridCol w:w="614"/>
      </w:tblGrid>
      <w:tr>
        <w:tblPrEx>
          <w:tblLayout w:type="fixed"/>
          <w:tblCellMar>
            <w:top w:w="0" w:type="dxa"/>
            <w:left w:w="10" w:type="dxa"/>
            <w:bottom w:w="0" w:type="dxa"/>
            <w:right w:w="10" w:type="dxa"/>
          </w:tblCellMar>
        </w:tblPrEx>
        <w:trPr>
          <w:trHeight w:val="667" w:hRule="exact"/>
          <w:jc w:val="center"/>
        </w:trPr>
        <w:tc>
          <w:tcPr>
            <w:tcW w:w="518" w:type="dxa"/>
            <w:tcBorders>
              <w:top w:val="single" w:color="auto" w:sz="4" w:space="0"/>
              <w:left w:val="single" w:color="auto" w:sz="4" w:space="0"/>
            </w:tcBorders>
            <w:shd w:val="clear" w:color="auto" w:fill="FFFFFF"/>
            <w:vAlign w:val="top"/>
          </w:tcPr>
          <w:p>
            <w:pPr>
              <w:pStyle w:val="15"/>
              <w:keepNext w:val="0"/>
              <w:keepLines w:val="0"/>
              <w:widowControl w:val="0"/>
              <w:shd w:val="clear" w:color="auto" w:fill="auto"/>
              <w:bidi w:val="0"/>
              <w:spacing w:before="120" w:after="0" w:line="240" w:lineRule="auto"/>
              <w:ind w:left="0" w:right="0" w:firstLine="0"/>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序号</w:t>
            </w:r>
          </w:p>
        </w:tc>
        <w:tc>
          <w:tcPr>
            <w:tcW w:w="1426"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302" w:lineRule="exact"/>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质量效益指标</w:t>
            </w:r>
          </w:p>
        </w:tc>
        <w:tc>
          <w:tcPr>
            <w:tcW w:w="1090"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93" w:lineRule="exact"/>
              <w:ind w:left="0" w:right="0" w:firstLine="0"/>
              <w:jc w:val="center"/>
              <w:rPr>
                <w:rFonts w:hint="eastAsia" w:ascii="黑体" w:hAnsi="黑体" w:eastAsia="黑体" w:cs="黑体"/>
                <w:color w:val="auto"/>
                <w:spacing w:val="0"/>
                <w:w w:val="100"/>
                <w:position w:val="0"/>
                <w:sz w:val="24"/>
                <w:szCs w:val="24"/>
                <w:highlight w:val="none"/>
              </w:rPr>
            </w:pPr>
            <w:r>
              <w:rPr>
                <w:rFonts w:hint="eastAsia" w:ascii="黑体" w:hAnsi="黑体" w:eastAsia="黑体" w:cs="黑体"/>
                <w:color w:val="auto"/>
                <w:spacing w:val="0"/>
                <w:w w:val="100"/>
                <w:position w:val="0"/>
                <w:sz w:val="24"/>
                <w:szCs w:val="24"/>
                <w:highlight w:val="none"/>
              </w:rPr>
              <w:t>分值</w:t>
            </w:r>
          </w:p>
          <w:p>
            <w:pPr>
              <w:pStyle w:val="14"/>
              <w:keepNext w:val="0"/>
              <w:keepLines w:val="0"/>
              <w:widowControl w:val="0"/>
              <w:shd w:val="clear" w:color="auto" w:fill="auto"/>
              <w:bidi w:val="0"/>
              <w:spacing w:before="0" w:after="0" w:line="293" w:lineRule="exact"/>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（50分）</w:t>
            </w:r>
          </w:p>
        </w:tc>
        <w:tc>
          <w:tcPr>
            <w:tcW w:w="797"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307" w:lineRule="exact"/>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目标值</w:t>
            </w:r>
          </w:p>
        </w:tc>
        <w:tc>
          <w:tcPr>
            <w:tcW w:w="4714"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考核计分标准</w:t>
            </w:r>
          </w:p>
        </w:tc>
        <w:tc>
          <w:tcPr>
            <w:tcW w:w="614" w:type="dxa"/>
            <w:tcBorders>
              <w:top w:val="single" w:color="auto" w:sz="4" w:space="0"/>
              <w:left w:val="single" w:color="auto" w:sz="4" w:space="0"/>
              <w:right w:val="single" w:color="auto" w:sz="4" w:space="0"/>
            </w:tcBorders>
            <w:shd w:val="clear" w:color="auto" w:fill="FFFFFF"/>
            <w:vAlign w:val="top"/>
          </w:tcPr>
          <w:p>
            <w:pPr>
              <w:pStyle w:val="15"/>
              <w:keepNext w:val="0"/>
              <w:keepLines w:val="0"/>
              <w:widowControl w:val="0"/>
              <w:shd w:val="clear" w:color="auto" w:fill="auto"/>
              <w:bidi w:val="0"/>
              <w:spacing w:before="0" w:after="0" w:line="240" w:lineRule="auto"/>
              <w:ind w:left="0" w:right="0" w:firstLine="0"/>
              <w:jc w:val="right"/>
              <w:rPr>
                <w:rFonts w:hint="eastAsia" w:ascii="黑体" w:hAnsi="黑体" w:eastAsia="黑体" w:cs="黑体"/>
                <w:color w:val="auto"/>
                <w:spacing w:val="0"/>
                <w:w w:val="100"/>
                <w:position w:val="0"/>
                <w:sz w:val="24"/>
                <w:szCs w:val="24"/>
                <w:highlight w:val="none"/>
                <w:u w:val="none"/>
                <w:shd w:val="clear" w:color="auto" w:fill="auto"/>
                <w:lang w:val="zh-CN" w:eastAsia="zh-CN" w:bidi="zh-CN"/>
              </w:rPr>
            </w:pPr>
          </w:p>
          <w:p>
            <w:pPr>
              <w:pStyle w:val="15"/>
              <w:keepNext w:val="0"/>
              <w:keepLines w:val="0"/>
              <w:widowControl w:val="0"/>
              <w:shd w:val="clear" w:color="auto" w:fill="auto"/>
              <w:bidi w:val="0"/>
              <w:spacing w:before="0" w:after="0" w:line="240" w:lineRule="auto"/>
              <w:ind w:left="0" w:right="0" w:firstLine="0"/>
              <w:jc w:val="center"/>
              <w:rPr>
                <w:rFonts w:hint="eastAsia" w:eastAsia="宋体"/>
                <w:color w:val="auto"/>
                <w:sz w:val="24"/>
                <w:szCs w:val="24"/>
                <w:highlight w:val="none"/>
                <w:lang w:eastAsia="zh-CN"/>
              </w:rPr>
            </w:pPr>
            <w:r>
              <w:rPr>
                <w:rFonts w:hint="eastAsia" w:ascii="黑体" w:hAnsi="黑体" w:eastAsia="黑体" w:cs="黑体"/>
                <w:color w:val="auto"/>
                <w:spacing w:val="0"/>
                <w:w w:val="100"/>
                <w:position w:val="0"/>
                <w:sz w:val="24"/>
                <w:szCs w:val="24"/>
                <w:highlight w:val="none"/>
                <w:u w:val="none"/>
                <w:shd w:val="clear" w:color="auto" w:fill="auto"/>
                <w:lang w:val="zh-CN" w:eastAsia="zh-CN" w:bidi="zh-CN"/>
              </w:rPr>
              <w:t>计分</w:t>
            </w:r>
          </w:p>
        </w:tc>
      </w:tr>
      <w:tr>
        <w:tblPrEx>
          <w:tblLayout w:type="fixed"/>
          <w:tblCellMar>
            <w:top w:w="0" w:type="dxa"/>
            <w:left w:w="10" w:type="dxa"/>
            <w:bottom w:w="0" w:type="dxa"/>
            <w:right w:w="10" w:type="dxa"/>
          </w:tblCellMar>
        </w:tblPrEx>
        <w:trPr>
          <w:trHeight w:val="931" w:hRule="exact"/>
          <w:jc w:val="center"/>
        </w:trPr>
        <w:tc>
          <w:tcPr>
            <w:tcW w:w="518" w:type="dxa"/>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180"/>
              <w:jc w:val="left"/>
              <w:rPr>
                <w:color w:val="auto"/>
                <w:sz w:val="24"/>
                <w:szCs w:val="24"/>
                <w:highlight w:val="none"/>
              </w:rPr>
            </w:pPr>
            <w:r>
              <w:rPr>
                <w:rFonts w:ascii="Times New Roman" w:hAnsi="Times New Roman" w:eastAsia="Times New Roman" w:cs="Times New Roman"/>
                <w:color w:val="auto"/>
                <w:spacing w:val="0"/>
                <w:w w:val="100"/>
                <w:position w:val="0"/>
                <w:sz w:val="24"/>
                <w:szCs w:val="24"/>
                <w:highlight w:val="none"/>
              </w:rPr>
              <w:t>1</w:t>
            </w:r>
          </w:p>
        </w:tc>
        <w:tc>
          <w:tcPr>
            <w:tcW w:w="1426"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07"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利润目标为正</w:t>
            </w:r>
          </w:p>
        </w:tc>
        <w:tc>
          <w:tcPr>
            <w:tcW w:w="1090" w:type="dxa"/>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20</w:t>
            </w:r>
          </w:p>
        </w:tc>
        <w:tc>
          <w:tcPr>
            <w:tcW w:w="797" w:type="dxa"/>
            <w:vMerge w:val="restart"/>
            <w:tcBorders>
              <w:top w:val="single" w:color="auto" w:sz="4" w:space="0"/>
              <w:left w:val="single" w:color="auto" w:sz="4" w:space="0"/>
            </w:tcBorders>
            <w:shd w:val="clear" w:color="auto" w:fill="FFFFFF"/>
            <w:vAlign w:val="top"/>
          </w:tcPr>
          <w:p>
            <w:pPr>
              <w:widowControl w:val="0"/>
              <w:rPr>
                <w:rFonts w:hint="eastAsia" w:ascii="仿宋" w:hAnsi="仿宋" w:eastAsia="仿宋" w:cs="仿宋"/>
                <w:color w:val="auto"/>
                <w:sz w:val="24"/>
                <w:szCs w:val="24"/>
                <w:highlight w:val="none"/>
              </w:rPr>
            </w:pPr>
          </w:p>
        </w:tc>
        <w:tc>
          <w:tcPr>
            <w:tcW w:w="4714"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312" w:lineRule="exact"/>
              <w:ind w:left="0" w:right="0" w:firstLine="0"/>
              <w:jc w:val="left"/>
              <w:rPr>
                <w:rFonts w:hint="eastAsia" w:ascii="Times New Roman" w:hAnsi="Times New Roman" w:eastAsia="仿宋" w:cs="Times New Roman"/>
                <w:b w:val="0"/>
                <w:bCs w:val="0"/>
                <w:color w:val="auto"/>
                <w:spacing w:val="0"/>
                <w:w w:val="100"/>
                <w:position w:val="0"/>
                <w:sz w:val="24"/>
                <w:szCs w:val="24"/>
                <w:highlight w:val="none"/>
              </w:rPr>
            </w:pPr>
            <w:r>
              <w:rPr>
                <w:rFonts w:hint="eastAsia" w:ascii="Times New Roman" w:hAnsi="Times New Roman" w:eastAsia="仿宋" w:cs="Times New Roman"/>
                <w:b w:val="0"/>
                <w:bCs w:val="0"/>
                <w:color w:val="auto"/>
                <w:spacing w:val="0"/>
                <w:w w:val="100"/>
                <w:position w:val="0"/>
                <w:sz w:val="24"/>
                <w:szCs w:val="24"/>
                <w:highlight w:val="none"/>
              </w:rPr>
              <w:t>完成目标值，得基本分</w:t>
            </w:r>
            <w:r>
              <w:rPr>
                <w:rFonts w:hint="default" w:ascii="Times New Roman" w:hAnsi="Times New Roman" w:eastAsia="仿宋" w:cs="Times New Roman"/>
                <w:b w:val="0"/>
                <w:bCs w:val="0"/>
                <w:color w:val="auto"/>
                <w:spacing w:val="0"/>
                <w:w w:val="100"/>
                <w:position w:val="0"/>
                <w:sz w:val="24"/>
                <w:szCs w:val="24"/>
                <w:highlight w:val="none"/>
              </w:rPr>
              <w:t>18</w:t>
            </w:r>
            <w:r>
              <w:rPr>
                <w:rFonts w:hint="eastAsia" w:ascii="Times New Roman" w:hAnsi="Times New Roman" w:eastAsia="仿宋" w:cs="Times New Roman"/>
                <w:b w:val="0"/>
                <w:bCs w:val="0"/>
                <w:color w:val="auto"/>
                <w:spacing w:val="0"/>
                <w:w w:val="100"/>
                <w:position w:val="0"/>
                <w:sz w:val="24"/>
                <w:szCs w:val="24"/>
                <w:highlight w:val="none"/>
              </w:rPr>
              <w:t>分；每超过目标值5%</w:t>
            </w:r>
            <w:r>
              <w:rPr>
                <w:rFonts w:hint="eastAsia" w:ascii="Times New Roman" w:hAnsi="Times New Roman" w:eastAsia="仿宋" w:cs="Times New Roman"/>
                <w:b w:val="0"/>
                <w:bCs w:val="0"/>
                <w:color w:val="auto"/>
                <w:spacing w:val="0"/>
                <w:w w:val="100"/>
                <w:position w:val="0"/>
                <w:sz w:val="24"/>
                <w:szCs w:val="24"/>
                <w:highlight w:val="none"/>
                <w:lang w:eastAsia="zh-CN"/>
              </w:rPr>
              <w:t>，</w:t>
            </w:r>
            <w:r>
              <w:rPr>
                <w:rFonts w:hint="eastAsia" w:ascii="Times New Roman" w:hAnsi="Times New Roman" w:eastAsia="仿宋" w:cs="Times New Roman"/>
                <w:b w:val="0"/>
                <w:bCs w:val="0"/>
                <w:color w:val="auto"/>
                <w:spacing w:val="0"/>
                <w:w w:val="100"/>
                <w:position w:val="0"/>
                <w:sz w:val="24"/>
                <w:szCs w:val="24"/>
                <w:highlight w:val="none"/>
              </w:rPr>
              <w:t>加1分，最多加2分；每低于目标值5%</w:t>
            </w:r>
            <w:r>
              <w:rPr>
                <w:rFonts w:hint="eastAsia" w:ascii="Times New Roman" w:hAnsi="Times New Roman" w:eastAsia="仿宋" w:cs="Times New Roman"/>
                <w:b w:val="0"/>
                <w:bCs w:val="0"/>
                <w:color w:val="auto"/>
                <w:spacing w:val="0"/>
                <w:w w:val="100"/>
                <w:position w:val="0"/>
                <w:sz w:val="24"/>
                <w:szCs w:val="24"/>
                <w:highlight w:val="none"/>
                <w:lang w:eastAsia="zh-CN"/>
              </w:rPr>
              <w:t>，</w:t>
            </w:r>
            <w:r>
              <w:rPr>
                <w:rFonts w:hint="eastAsia" w:ascii="Times New Roman" w:hAnsi="Times New Roman" w:eastAsia="仿宋" w:cs="Times New Roman"/>
                <w:b w:val="0"/>
                <w:bCs w:val="0"/>
                <w:color w:val="auto"/>
                <w:spacing w:val="0"/>
                <w:w w:val="100"/>
                <w:position w:val="0"/>
                <w:sz w:val="24"/>
                <w:szCs w:val="24"/>
                <w:highlight w:val="none"/>
              </w:rPr>
              <w:t>扣基本分1分，最多扣18分。</w:t>
            </w:r>
          </w:p>
        </w:tc>
        <w:tc>
          <w:tcPr>
            <w:tcW w:w="614" w:type="dxa"/>
            <w:tcBorders>
              <w:top w:val="single" w:color="auto" w:sz="4" w:space="0"/>
              <w:left w:val="single" w:color="auto" w:sz="4" w:space="0"/>
              <w:right w:val="single" w:color="auto" w:sz="4" w:space="0"/>
            </w:tcBorders>
            <w:shd w:val="clear" w:color="auto" w:fill="FFFFFF"/>
            <w:vAlign w:val="top"/>
          </w:tcPr>
          <w:p>
            <w:pPr>
              <w:widowControl w:val="0"/>
              <w:rPr>
                <w:color w:val="auto"/>
                <w:sz w:val="24"/>
                <w:szCs w:val="24"/>
                <w:highlight w:val="none"/>
              </w:rPr>
            </w:pPr>
          </w:p>
        </w:tc>
      </w:tr>
      <w:tr>
        <w:tblPrEx>
          <w:tblLayout w:type="fixed"/>
          <w:tblCellMar>
            <w:top w:w="0" w:type="dxa"/>
            <w:left w:w="10" w:type="dxa"/>
            <w:bottom w:w="0" w:type="dxa"/>
            <w:right w:w="10" w:type="dxa"/>
          </w:tblCellMar>
        </w:tblPrEx>
        <w:trPr>
          <w:trHeight w:val="936" w:hRule="exact"/>
          <w:jc w:val="center"/>
        </w:trPr>
        <w:tc>
          <w:tcPr>
            <w:tcW w:w="518" w:type="dxa"/>
            <w:vMerge w:val="continue"/>
            <w:tcBorders>
              <w:left w:val="single" w:color="auto" w:sz="4" w:space="0"/>
            </w:tcBorders>
            <w:shd w:val="clear" w:color="auto" w:fill="FFFFFF"/>
            <w:vAlign w:val="center"/>
          </w:tcPr>
          <w:p>
            <w:pPr>
              <w:rPr>
                <w:color w:val="auto"/>
                <w:sz w:val="24"/>
                <w:szCs w:val="24"/>
                <w:highlight w:val="none"/>
              </w:rPr>
            </w:pPr>
          </w:p>
        </w:tc>
        <w:tc>
          <w:tcPr>
            <w:tcW w:w="1426"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07"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控制亏损目标</w:t>
            </w:r>
          </w:p>
        </w:tc>
        <w:tc>
          <w:tcPr>
            <w:tcW w:w="1090" w:type="dxa"/>
            <w:vMerge w:val="continue"/>
            <w:tcBorders>
              <w:left w:val="single" w:color="auto" w:sz="4" w:space="0"/>
            </w:tcBorders>
            <w:shd w:val="clear" w:color="auto" w:fill="FFFFFF"/>
            <w:vAlign w:val="center"/>
          </w:tcPr>
          <w:p>
            <w:pPr>
              <w:rPr>
                <w:rFonts w:hint="eastAsia" w:ascii="仿宋" w:hAnsi="仿宋" w:eastAsia="仿宋" w:cs="仿宋"/>
                <w:color w:val="auto"/>
                <w:sz w:val="24"/>
                <w:szCs w:val="24"/>
                <w:highlight w:val="none"/>
              </w:rPr>
            </w:pPr>
          </w:p>
        </w:tc>
        <w:tc>
          <w:tcPr>
            <w:tcW w:w="797" w:type="dxa"/>
            <w:vMerge w:val="continue"/>
            <w:tcBorders>
              <w:left w:val="single" w:color="auto" w:sz="4" w:space="0"/>
            </w:tcBorders>
            <w:shd w:val="clear" w:color="auto" w:fill="FFFFFF"/>
            <w:vAlign w:val="top"/>
          </w:tcPr>
          <w:p>
            <w:pPr>
              <w:widowControl w:val="0"/>
              <w:rPr>
                <w:rFonts w:hint="eastAsia" w:ascii="仿宋" w:hAnsi="仿宋" w:eastAsia="仿宋" w:cs="仿宋"/>
                <w:color w:val="auto"/>
                <w:sz w:val="24"/>
                <w:szCs w:val="24"/>
                <w:highlight w:val="none"/>
              </w:rPr>
            </w:pPr>
          </w:p>
        </w:tc>
        <w:tc>
          <w:tcPr>
            <w:tcW w:w="4714"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312" w:lineRule="exact"/>
              <w:ind w:left="0" w:right="0" w:firstLine="0"/>
              <w:jc w:val="left"/>
              <w:rPr>
                <w:rFonts w:hint="eastAsia" w:ascii="Times New Roman" w:hAnsi="Times New Roman" w:eastAsia="仿宋" w:cs="Times New Roman"/>
                <w:b w:val="0"/>
                <w:bCs w:val="0"/>
                <w:color w:val="auto"/>
                <w:spacing w:val="0"/>
                <w:w w:val="100"/>
                <w:position w:val="0"/>
                <w:sz w:val="24"/>
                <w:szCs w:val="24"/>
                <w:highlight w:val="none"/>
              </w:rPr>
            </w:pPr>
            <w:r>
              <w:rPr>
                <w:rFonts w:hint="eastAsia" w:ascii="Times New Roman" w:hAnsi="Times New Roman" w:eastAsia="仿宋" w:cs="Times New Roman"/>
                <w:b w:val="0"/>
                <w:bCs w:val="0"/>
                <w:color w:val="auto"/>
                <w:spacing w:val="0"/>
                <w:w w:val="100"/>
                <w:position w:val="0"/>
                <w:sz w:val="24"/>
                <w:szCs w:val="24"/>
                <w:highlight w:val="none"/>
              </w:rPr>
              <w:t>完成目标值，得基本分18分；每超过目标值5%</w:t>
            </w:r>
            <w:r>
              <w:rPr>
                <w:rFonts w:hint="eastAsia" w:ascii="Times New Roman" w:hAnsi="Times New Roman" w:eastAsia="仿宋" w:cs="Times New Roman"/>
                <w:b w:val="0"/>
                <w:bCs w:val="0"/>
                <w:color w:val="auto"/>
                <w:spacing w:val="0"/>
                <w:w w:val="100"/>
                <w:position w:val="0"/>
                <w:sz w:val="24"/>
                <w:szCs w:val="24"/>
                <w:highlight w:val="none"/>
                <w:lang w:eastAsia="zh-CN"/>
              </w:rPr>
              <w:t>，</w:t>
            </w:r>
            <w:r>
              <w:rPr>
                <w:rFonts w:hint="eastAsia" w:ascii="Times New Roman" w:hAnsi="Times New Roman" w:eastAsia="仿宋" w:cs="Times New Roman"/>
                <w:b w:val="0"/>
                <w:bCs w:val="0"/>
                <w:color w:val="auto"/>
                <w:spacing w:val="0"/>
                <w:w w:val="100"/>
                <w:position w:val="0"/>
                <w:sz w:val="24"/>
                <w:szCs w:val="24"/>
                <w:highlight w:val="none"/>
              </w:rPr>
              <w:t>扣1分，最多扣18分；每低于目标值5%</w:t>
            </w:r>
            <w:r>
              <w:rPr>
                <w:rFonts w:hint="eastAsia" w:ascii="Times New Roman" w:hAnsi="Times New Roman" w:eastAsia="仿宋" w:cs="Times New Roman"/>
                <w:b w:val="0"/>
                <w:bCs w:val="0"/>
                <w:color w:val="auto"/>
                <w:spacing w:val="0"/>
                <w:w w:val="100"/>
                <w:position w:val="0"/>
                <w:sz w:val="24"/>
                <w:szCs w:val="24"/>
                <w:highlight w:val="none"/>
                <w:lang w:eastAsia="zh-CN"/>
              </w:rPr>
              <w:t>，</w:t>
            </w:r>
            <w:r>
              <w:rPr>
                <w:rFonts w:hint="eastAsia" w:ascii="Times New Roman" w:hAnsi="Times New Roman" w:eastAsia="仿宋" w:cs="Times New Roman"/>
                <w:b w:val="0"/>
                <w:bCs w:val="0"/>
                <w:color w:val="auto"/>
                <w:spacing w:val="0"/>
                <w:w w:val="100"/>
                <w:position w:val="0"/>
                <w:sz w:val="24"/>
                <w:szCs w:val="24"/>
                <w:highlight w:val="none"/>
              </w:rPr>
              <w:t>加1分，最多加2分。</w:t>
            </w:r>
          </w:p>
        </w:tc>
        <w:tc>
          <w:tcPr>
            <w:tcW w:w="614" w:type="dxa"/>
            <w:tcBorders>
              <w:left w:val="single" w:color="auto" w:sz="4" w:space="0"/>
              <w:right w:val="single" w:color="auto" w:sz="4" w:space="0"/>
            </w:tcBorders>
            <w:shd w:val="clear" w:color="auto" w:fill="FFFFFF"/>
            <w:vAlign w:val="top"/>
          </w:tcPr>
          <w:p>
            <w:pPr>
              <w:widowControl w:val="0"/>
              <w:rPr>
                <w:color w:val="auto"/>
                <w:sz w:val="24"/>
                <w:szCs w:val="24"/>
                <w:highlight w:val="none"/>
              </w:rPr>
            </w:pPr>
          </w:p>
        </w:tc>
      </w:tr>
      <w:tr>
        <w:tblPrEx>
          <w:tblLayout w:type="fixed"/>
          <w:tblCellMar>
            <w:top w:w="0" w:type="dxa"/>
            <w:left w:w="10" w:type="dxa"/>
            <w:bottom w:w="0" w:type="dxa"/>
            <w:right w:w="10" w:type="dxa"/>
          </w:tblCellMar>
        </w:tblPrEx>
        <w:trPr>
          <w:trHeight w:val="1361" w:hRule="exact"/>
          <w:jc w:val="center"/>
        </w:trPr>
        <w:tc>
          <w:tcPr>
            <w:tcW w:w="518"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180"/>
              <w:jc w:val="left"/>
              <w:rPr>
                <w:color w:val="auto"/>
                <w:sz w:val="24"/>
                <w:szCs w:val="24"/>
                <w:highlight w:val="none"/>
              </w:rPr>
            </w:pPr>
            <w:r>
              <w:rPr>
                <w:rFonts w:ascii="Times New Roman" w:hAnsi="Times New Roman" w:eastAsia="Times New Roman" w:cs="Times New Roman"/>
                <w:color w:val="auto"/>
                <w:spacing w:val="0"/>
                <w:w w:val="100"/>
                <w:position w:val="0"/>
                <w:sz w:val="24"/>
                <w:szCs w:val="24"/>
                <w:highlight w:val="none"/>
              </w:rPr>
              <w:t>2</w:t>
            </w:r>
          </w:p>
        </w:tc>
        <w:tc>
          <w:tcPr>
            <w:tcW w:w="1426"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02"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国有资本保值增值率</w:t>
            </w:r>
          </w:p>
        </w:tc>
        <w:tc>
          <w:tcPr>
            <w:tcW w:w="1090"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10</w:t>
            </w:r>
          </w:p>
        </w:tc>
        <w:tc>
          <w:tcPr>
            <w:tcW w:w="797" w:type="dxa"/>
            <w:tcBorders>
              <w:top w:val="single" w:color="auto" w:sz="4" w:space="0"/>
              <w:left w:val="single" w:color="auto" w:sz="4" w:space="0"/>
            </w:tcBorders>
            <w:shd w:val="clear" w:color="auto" w:fill="FFFFFF"/>
            <w:vAlign w:val="top"/>
          </w:tcPr>
          <w:p>
            <w:pPr>
              <w:widowControl w:val="0"/>
              <w:rPr>
                <w:rFonts w:hint="eastAsia" w:ascii="仿宋" w:hAnsi="仿宋" w:eastAsia="仿宋" w:cs="仿宋"/>
                <w:color w:val="auto"/>
                <w:sz w:val="24"/>
                <w:szCs w:val="24"/>
                <w:highlight w:val="none"/>
              </w:rPr>
            </w:pPr>
          </w:p>
        </w:tc>
        <w:tc>
          <w:tcPr>
            <w:tcW w:w="4714"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312" w:lineRule="exact"/>
              <w:ind w:left="0" w:right="0" w:firstLine="0"/>
              <w:jc w:val="left"/>
              <w:rPr>
                <w:rFonts w:hint="eastAsia" w:ascii="Times New Roman" w:hAnsi="Times New Roman" w:eastAsia="仿宋" w:cs="Times New Roman"/>
                <w:b w:val="0"/>
                <w:bCs w:val="0"/>
                <w:color w:val="auto"/>
                <w:spacing w:val="0"/>
                <w:w w:val="100"/>
                <w:position w:val="0"/>
                <w:sz w:val="24"/>
                <w:szCs w:val="24"/>
                <w:highlight w:val="none"/>
              </w:rPr>
            </w:pPr>
            <w:r>
              <w:rPr>
                <w:rFonts w:hint="eastAsia" w:ascii="Times New Roman" w:hAnsi="Times New Roman" w:eastAsia="仿宋" w:cs="Times New Roman"/>
                <w:b w:val="0"/>
                <w:bCs w:val="0"/>
                <w:color w:val="auto"/>
                <w:spacing w:val="0"/>
                <w:w w:val="100"/>
                <w:position w:val="0"/>
                <w:sz w:val="24"/>
                <w:szCs w:val="24"/>
                <w:highlight w:val="none"/>
              </w:rPr>
              <w:t>完成目标值，得基本分9分；每超过目标值</w:t>
            </w:r>
            <w:r>
              <w:rPr>
                <w:rFonts w:hint="eastAsia" w:ascii="Times New Roman" w:hAnsi="Times New Roman" w:eastAsia="仿宋" w:cs="Times New Roman"/>
                <w:b w:val="0"/>
                <w:bCs w:val="0"/>
                <w:color w:val="auto"/>
                <w:spacing w:val="0"/>
                <w:w w:val="100"/>
                <w:position w:val="0"/>
                <w:sz w:val="24"/>
                <w:szCs w:val="24"/>
                <w:highlight w:val="none"/>
                <w:lang w:val="en-US" w:eastAsia="en-US"/>
              </w:rPr>
              <w:t>0.1</w:t>
            </w:r>
            <w:r>
              <w:rPr>
                <w:rFonts w:hint="eastAsia" w:ascii="Times New Roman" w:hAnsi="Times New Roman" w:eastAsia="仿宋" w:cs="Times New Roman"/>
                <w:b w:val="0"/>
                <w:bCs w:val="0"/>
                <w:color w:val="auto"/>
                <w:spacing w:val="0"/>
                <w:w w:val="100"/>
                <w:position w:val="0"/>
                <w:sz w:val="24"/>
                <w:szCs w:val="24"/>
                <w:highlight w:val="none"/>
              </w:rPr>
              <w:t>个百分点，</w:t>
            </w:r>
            <w:r>
              <w:rPr>
                <w:rFonts w:hint="eastAsia" w:ascii="Times New Roman" w:hAnsi="Times New Roman" w:eastAsia="仿宋" w:cs="Times New Roman"/>
                <w:b w:val="0"/>
                <w:bCs w:val="0"/>
                <w:color w:val="auto"/>
                <w:spacing w:val="0"/>
                <w:w w:val="100"/>
                <w:position w:val="0"/>
                <w:sz w:val="24"/>
                <w:szCs w:val="24"/>
                <w:highlight w:val="none"/>
                <w:lang w:eastAsia="zh-CN"/>
              </w:rPr>
              <w:t>加</w:t>
            </w:r>
            <w:r>
              <w:rPr>
                <w:rFonts w:hint="eastAsia" w:ascii="Times New Roman" w:hAnsi="Times New Roman" w:eastAsia="仿宋" w:cs="Times New Roman"/>
                <w:b w:val="0"/>
                <w:bCs w:val="0"/>
                <w:color w:val="auto"/>
                <w:spacing w:val="0"/>
                <w:w w:val="100"/>
                <w:position w:val="0"/>
                <w:sz w:val="24"/>
                <w:szCs w:val="24"/>
                <w:highlight w:val="none"/>
                <w:lang w:val="en-US" w:eastAsia="en-US"/>
              </w:rPr>
              <w:t>0.5</w:t>
            </w:r>
            <w:r>
              <w:rPr>
                <w:rFonts w:hint="eastAsia" w:ascii="Times New Roman" w:hAnsi="Times New Roman" w:eastAsia="仿宋" w:cs="Times New Roman"/>
                <w:b w:val="0"/>
                <w:bCs w:val="0"/>
                <w:color w:val="auto"/>
                <w:spacing w:val="0"/>
                <w:w w:val="100"/>
                <w:position w:val="0"/>
                <w:sz w:val="24"/>
                <w:szCs w:val="24"/>
                <w:highlight w:val="none"/>
              </w:rPr>
              <w:t>分，最多加1分；每低于目标值</w:t>
            </w:r>
            <w:r>
              <w:rPr>
                <w:rFonts w:hint="eastAsia" w:ascii="Times New Roman" w:hAnsi="Times New Roman" w:eastAsia="仿宋" w:cs="Times New Roman"/>
                <w:b w:val="0"/>
                <w:bCs w:val="0"/>
                <w:color w:val="auto"/>
                <w:spacing w:val="0"/>
                <w:w w:val="100"/>
                <w:position w:val="0"/>
                <w:sz w:val="24"/>
                <w:szCs w:val="24"/>
                <w:highlight w:val="none"/>
                <w:lang w:val="en-US" w:eastAsia="en-US"/>
              </w:rPr>
              <w:t>0.1</w:t>
            </w:r>
            <w:r>
              <w:rPr>
                <w:rFonts w:hint="eastAsia" w:ascii="Times New Roman" w:hAnsi="Times New Roman" w:eastAsia="仿宋" w:cs="Times New Roman"/>
                <w:b w:val="0"/>
                <w:bCs w:val="0"/>
                <w:color w:val="auto"/>
                <w:spacing w:val="0"/>
                <w:w w:val="100"/>
                <w:position w:val="0"/>
                <w:sz w:val="24"/>
                <w:szCs w:val="24"/>
                <w:highlight w:val="none"/>
              </w:rPr>
              <w:t>个百分点，扣基本分</w:t>
            </w:r>
            <w:r>
              <w:rPr>
                <w:rFonts w:hint="eastAsia" w:ascii="Times New Roman" w:hAnsi="Times New Roman" w:eastAsia="仿宋" w:cs="Times New Roman"/>
                <w:b w:val="0"/>
                <w:bCs w:val="0"/>
                <w:color w:val="auto"/>
                <w:spacing w:val="0"/>
                <w:w w:val="100"/>
                <w:position w:val="0"/>
                <w:sz w:val="24"/>
                <w:szCs w:val="24"/>
                <w:highlight w:val="none"/>
                <w:lang w:val="en-US" w:eastAsia="en-US"/>
              </w:rPr>
              <w:t>0.5</w:t>
            </w:r>
            <w:r>
              <w:rPr>
                <w:rFonts w:hint="eastAsia" w:ascii="Times New Roman" w:hAnsi="Times New Roman" w:eastAsia="仿宋" w:cs="Times New Roman"/>
                <w:b w:val="0"/>
                <w:bCs w:val="0"/>
                <w:color w:val="auto"/>
                <w:spacing w:val="0"/>
                <w:w w:val="100"/>
                <w:position w:val="0"/>
                <w:sz w:val="24"/>
                <w:szCs w:val="24"/>
                <w:highlight w:val="none"/>
              </w:rPr>
              <w:t>分，最多扣9分。</w:t>
            </w:r>
          </w:p>
        </w:tc>
        <w:tc>
          <w:tcPr>
            <w:tcW w:w="614" w:type="dxa"/>
            <w:tcBorders>
              <w:top w:val="single" w:color="auto" w:sz="4" w:space="0"/>
              <w:left w:val="single" w:color="auto" w:sz="4" w:space="0"/>
              <w:right w:val="single" w:color="auto" w:sz="4" w:space="0"/>
            </w:tcBorders>
            <w:shd w:val="clear" w:color="auto" w:fill="FFFFFF"/>
            <w:vAlign w:val="top"/>
          </w:tcPr>
          <w:p>
            <w:pPr>
              <w:widowControl w:val="0"/>
              <w:rPr>
                <w:color w:val="auto"/>
                <w:sz w:val="24"/>
                <w:szCs w:val="24"/>
                <w:highlight w:val="none"/>
              </w:rPr>
            </w:pPr>
          </w:p>
        </w:tc>
      </w:tr>
      <w:tr>
        <w:tblPrEx>
          <w:tblLayout w:type="fixed"/>
          <w:tblCellMar>
            <w:top w:w="0" w:type="dxa"/>
            <w:left w:w="10" w:type="dxa"/>
            <w:bottom w:w="0" w:type="dxa"/>
            <w:right w:w="10" w:type="dxa"/>
          </w:tblCellMar>
        </w:tblPrEx>
        <w:trPr>
          <w:trHeight w:val="955" w:hRule="exact"/>
          <w:jc w:val="center"/>
        </w:trPr>
        <w:tc>
          <w:tcPr>
            <w:tcW w:w="518"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180"/>
              <w:jc w:val="left"/>
              <w:rPr>
                <w:color w:val="auto"/>
                <w:sz w:val="24"/>
                <w:szCs w:val="24"/>
                <w:highlight w:val="none"/>
              </w:rPr>
            </w:pPr>
            <w:r>
              <w:rPr>
                <w:rFonts w:ascii="Times New Roman" w:hAnsi="Times New Roman" w:eastAsia="Times New Roman" w:cs="Times New Roman"/>
                <w:color w:val="auto"/>
                <w:spacing w:val="0"/>
                <w:w w:val="100"/>
                <w:position w:val="0"/>
                <w:sz w:val="24"/>
                <w:szCs w:val="24"/>
                <w:highlight w:val="none"/>
              </w:rPr>
              <w:t>3</w:t>
            </w:r>
          </w:p>
        </w:tc>
        <w:tc>
          <w:tcPr>
            <w:tcW w:w="1426"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317"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现金利息保障倍数</w:t>
            </w:r>
          </w:p>
        </w:tc>
        <w:tc>
          <w:tcPr>
            <w:tcW w:w="1090"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20</w:t>
            </w:r>
          </w:p>
        </w:tc>
        <w:tc>
          <w:tcPr>
            <w:tcW w:w="797" w:type="dxa"/>
            <w:tcBorders>
              <w:top w:val="single" w:color="auto" w:sz="4" w:space="0"/>
              <w:left w:val="single" w:color="auto" w:sz="4" w:space="0"/>
              <w:bottom w:val="single" w:color="auto" w:sz="4" w:space="0"/>
            </w:tcBorders>
            <w:shd w:val="clear" w:color="auto" w:fill="FFFFFF"/>
            <w:vAlign w:val="top"/>
          </w:tcPr>
          <w:p>
            <w:pPr>
              <w:widowControl w:val="0"/>
              <w:rPr>
                <w:rFonts w:hint="eastAsia" w:ascii="仿宋" w:hAnsi="仿宋" w:eastAsia="仿宋" w:cs="仿宋"/>
                <w:color w:val="auto"/>
                <w:sz w:val="24"/>
                <w:szCs w:val="24"/>
                <w:highlight w:val="none"/>
              </w:rPr>
            </w:pPr>
          </w:p>
        </w:tc>
        <w:tc>
          <w:tcPr>
            <w:tcW w:w="4714" w:type="dxa"/>
            <w:tcBorders>
              <w:top w:val="single" w:color="auto" w:sz="4" w:space="0"/>
              <w:left w:val="single" w:color="auto" w:sz="4" w:space="0"/>
              <w:bottom w:val="single" w:color="auto" w:sz="4" w:space="0"/>
            </w:tcBorders>
            <w:shd w:val="clear" w:color="auto" w:fill="FFFFFF"/>
            <w:vAlign w:val="bottom"/>
          </w:tcPr>
          <w:p>
            <w:pPr>
              <w:pStyle w:val="14"/>
              <w:keepNext w:val="0"/>
              <w:keepLines w:val="0"/>
              <w:widowControl w:val="0"/>
              <w:shd w:val="clear" w:color="auto" w:fill="auto"/>
              <w:bidi w:val="0"/>
              <w:spacing w:before="0" w:after="0" w:line="312" w:lineRule="exact"/>
              <w:ind w:left="0" w:right="0" w:firstLine="0"/>
              <w:jc w:val="left"/>
              <w:rPr>
                <w:rFonts w:hint="eastAsia" w:ascii="Times New Roman" w:hAnsi="Times New Roman" w:eastAsia="仿宋" w:cs="Times New Roman"/>
                <w:b w:val="0"/>
                <w:bCs w:val="0"/>
                <w:color w:val="auto"/>
                <w:spacing w:val="0"/>
                <w:w w:val="100"/>
                <w:position w:val="0"/>
                <w:sz w:val="24"/>
                <w:szCs w:val="24"/>
                <w:highlight w:val="none"/>
              </w:rPr>
            </w:pPr>
            <w:r>
              <w:rPr>
                <w:rFonts w:hint="eastAsia" w:ascii="Times New Roman" w:hAnsi="Times New Roman" w:eastAsia="仿宋" w:cs="Times New Roman"/>
                <w:b w:val="0"/>
                <w:bCs w:val="0"/>
                <w:color w:val="auto"/>
                <w:spacing w:val="0"/>
                <w:w w:val="100"/>
                <w:position w:val="0"/>
                <w:sz w:val="24"/>
                <w:szCs w:val="24"/>
                <w:highlight w:val="none"/>
              </w:rPr>
              <w:t>完成目标值，得基本分18分；每超过目标值5%</w:t>
            </w:r>
            <w:r>
              <w:rPr>
                <w:rFonts w:hint="eastAsia" w:ascii="Times New Roman" w:hAnsi="Times New Roman" w:eastAsia="仿宋" w:cs="Times New Roman"/>
                <w:b w:val="0"/>
                <w:bCs w:val="0"/>
                <w:color w:val="auto"/>
                <w:spacing w:val="0"/>
                <w:w w:val="100"/>
                <w:position w:val="0"/>
                <w:sz w:val="24"/>
                <w:szCs w:val="24"/>
                <w:highlight w:val="none"/>
                <w:lang w:eastAsia="zh-CN"/>
              </w:rPr>
              <w:t>，</w:t>
            </w:r>
            <w:r>
              <w:rPr>
                <w:rFonts w:hint="eastAsia" w:ascii="Times New Roman" w:hAnsi="Times New Roman" w:eastAsia="仿宋" w:cs="Times New Roman"/>
                <w:b w:val="0"/>
                <w:bCs w:val="0"/>
                <w:color w:val="auto"/>
                <w:spacing w:val="0"/>
                <w:w w:val="100"/>
                <w:position w:val="0"/>
                <w:sz w:val="24"/>
                <w:szCs w:val="24"/>
                <w:highlight w:val="none"/>
              </w:rPr>
              <w:t>加</w:t>
            </w:r>
            <w:r>
              <w:rPr>
                <w:rFonts w:hint="eastAsia" w:ascii="Times New Roman" w:hAnsi="Times New Roman" w:eastAsia="仿宋" w:cs="Times New Roman"/>
                <w:b w:val="0"/>
                <w:bCs w:val="0"/>
                <w:color w:val="auto"/>
                <w:spacing w:val="0"/>
                <w:w w:val="100"/>
                <w:position w:val="0"/>
                <w:sz w:val="24"/>
                <w:szCs w:val="24"/>
                <w:highlight w:val="none"/>
                <w:lang w:val="en-US" w:eastAsia="en-US"/>
              </w:rPr>
              <w:t>0.5</w:t>
            </w:r>
            <w:r>
              <w:rPr>
                <w:rFonts w:hint="eastAsia" w:ascii="Times New Roman" w:hAnsi="Times New Roman" w:eastAsia="仿宋" w:cs="Times New Roman"/>
                <w:b w:val="0"/>
                <w:bCs w:val="0"/>
                <w:color w:val="auto"/>
                <w:spacing w:val="0"/>
                <w:w w:val="100"/>
                <w:position w:val="0"/>
                <w:sz w:val="24"/>
                <w:szCs w:val="24"/>
                <w:highlight w:val="none"/>
              </w:rPr>
              <w:t>分，最多加2分；每低于目标值5%</w:t>
            </w:r>
            <w:r>
              <w:rPr>
                <w:rFonts w:hint="eastAsia" w:ascii="Times New Roman" w:hAnsi="Times New Roman" w:eastAsia="仿宋" w:cs="Times New Roman"/>
                <w:b w:val="0"/>
                <w:bCs w:val="0"/>
                <w:color w:val="auto"/>
                <w:spacing w:val="0"/>
                <w:w w:val="100"/>
                <w:position w:val="0"/>
                <w:sz w:val="24"/>
                <w:szCs w:val="24"/>
                <w:highlight w:val="none"/>
                <w:lang w:eastAsia="zh-CN"/>
              </w:rPr>
              <w:t>，</w:t>
            </w:r>
            <w:r>
              <w:rPr>
                <w:rFonts w:hint="eastAsia" w:ascii="Times New Roman" w:hAnsi="Times New Roman" w:eastAsia="仿宋" w:cs="Times New Roman"/>
                <w:b w:val="0"/>
                <w:bCs w:val="0"/>
                <w:color w:val="auto"/>
                <w:spacing w:val="0"/>
                <w:w w:val="100"/>
                <w:position w:val="0"/>
                <w:sz w:val="24"/>
                <w:szCs w:val="24"/>
                <w:highlight w:val="none"/>
              </w:rPr>
              <w:t>扣墓本分</w:t>
            </w:r>
            <w:r>
              <w:rPr>
                <w:rFonts w:hint="eastAsia" w:ascii="Times New Roman" w:hAnsi="Times New Roman" w:eastAsia="仿宋" w:cs="Times New Roman"/>
                <w:b w:val="0"/>
                <w:bCs w:val="0"/>
                <w:color w:val="auto"/>
                <w:spacing w:val="0"/>
                <w:w w:val="100"/>
                <w:position w:val="0"/>
                <w:sz w:val="24"/>
                <w:szCs w:val="24"/>
                <w:highlight w:val="none"/>
                <w:lang w:val="en-US" w:eastAsia="en-US"/>
              </w:rPr>
              <w:t>0.5</w:t>
            </w:r>
            <w:r>
              <w:rPr>
                <w:rFonts w:hint="eastAsia" w:ascii="Times New Roman" w:hAnsi="Times New Roman" w:eastAsia="仿宋" w:cs="Times New Roman"/>
                <w:b w:val="0"/>
                <w:bCs w:val="0"/>
                <w:color w:val="auto"/>
                <w:spacing w:val="0"/>
                <w:w w:val="100"/>
                <w:position w:val="0"/>
                <w:sz w:val="24"/>
                <w:szCs w:val="24"/>
                <w:highlight w:val="none"/>
              </w:rPr>
              <w:t>分，最多扣18分。</w:t>
            </w:r>
          </w:p>
        </w:tc>
        <w:tc>
          <w:tcPr>
            <w:tcW w:w="614"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color w:val="auto"/>
                <w:sz w:val="24"/>
                <w:szCs w:val="24"/>
                <w:highlight w:val="none"/>
              </w:rPr>
            </w:pPr>
          </w:p>
        </w:tc>
      </w:tr>
    </w:tbl>
    <w:p>
      <w:pPr>
        <w:keepNext w:val="0"/>
        <w:keepLines w:val="0"/>
        <w:pageBreakBefore w:val="0"/>
        <w:widowControl w:val="0"/>
        <w:numPr>
          <w:ilvl w:val="8"/>
          <w:numId w:val="0"/>
        </w:numPr>
        <w:shd w:val="clear" w:color="auto" w:fill="auto"/>
        <w:kinsoku/>
        <w:wordWrap/>
        <w:overflowPunct/>
        <w:topLinePunct w:val="0"/>
        <w:autoSpaceDE/>
        <w:autoSpaceDN/>
        <w:bidi w:val="0"/>
        <w:adjustRightInd/>
        <w:snapToGrid/>
        <w:spacing w:line="540" w:lineRule="exact"/>
        <w:ind w:right="0" w:rightChars="0" w:firstLine="611" w:firstLineChars="200"/>
        <w:jc w:val="both"/>
        <w:textAlignment w:val="auto"/>
        <w:rPr>
          <w:rFonts w:hint="eastAsia" w:ascii="Times New Roman" w:hAnsi="Times New Roman" w:eastAsia="仿宋" w:cs="Times New Roman"/>
          <w:b/>
          <w:bCs/>
          <w:color w:val="auto"/>
          <w:w w:val="95"/>
          <w:sz w:val="32"/>
          <w:szCs w:val="32"/>
          <w:highlight w:val="none"/>
          <w:lang w:val="en-US" w:eastAsia="zh-CN"/>
        </w:rPr>
      </w:pPr>
      <w:r>
        <w:rPr>
          <w:rFonts w:hint="eastAsia" w:ascii="Times New Roman" w:hAnsi="Times New Roman" w:eastAsia="仿宋" w:cs="Times New Roman"/>
          <w:b/>
          <w:bCs/>
          <w:color w:val="auto"/>
          <w:w w:val="95"/>
          <w:sz w:val="32"/>
          <w:szCs w:val="32"/>
          <w:highlight w:val="none"/>
          <w:lang w:val="en-US" w:eastAsia="zh-CN"/>
        </w:rPr>
        <w:t>2.短板指标改善评价细则</w:t>
      </w:r>
    </w:p>
    <w:p>
      <w:pPr>
        <w:keepNext w:val="0"/>
        <w:keepLines w:val="0"/>
        <w:pageBreakBefore w:val="0"/>
        <w:widowControl w:val="0"/>
        <w:numPr>
          <w:ilvl w:val="8"/>
          <w:numId w:val="0"/>
        </w:numPr>
        <w:shd w:val="clear" w:color="auto" w:fill="auto"/>
        <w:kinsoku/>
        <w:wordWrap/>
        <w:overflowPunct/>
        <w:topLinePunct w:val="0"/>
        <w:autoSpaceDE/>
        <w:autoSpaceDN/>
        <w:bidi w:val="0"/>
        <w:adjustRightInd/>
        <w:snapToGrid/>
        <w:spacing w:line="540" w:lineRule="exact"/>
        <w:ind w:right="0" w:rightChars="0" w:firstLine="608" w:firstLineChars="200"/>
        <w:jc w:val="both"/>
        <w:textAlignment w:val="auto"/>
        <w:rPr>
          <w:rFonts w:hint="eastAsia" w:ascii="Times New Roman" w:hAnsi="Times New Roman" w:eastAsia="仿宋" w:cs="Times New Roman"/>
          <w:color w:val="auto"/>
          <w:w w:val="95"/>
          <w:sz w:val="32"/>
          <w:szCs w:val="32"/>
          <w:highlight w:val="none"/>
          <w:lang w:val="en-US" w:eastAsia="zh-CN"/>
        </w:rPr>
      </w:pPr>
      <w:r>
        <w:rPr>
          <w:rFonts w:hint="eastAsia" w:ascii="Times New Roman" w:hAnsi="Times New Roman" w:eastAsia="仿宋" w:cs="Times New Roman"/>
          <w:color w:val="auto"/>
          <w:w w:val="95"/>
          <w:sz w:val="32"/>
          <w:szCs w:val="32"/>
          <w:highlight w:val="none"/>
          <w:lang w:val="en-US" w:eastAsia="zh-CN"/>
        </w:rPr>
        <w:t>结合区工业开发投资（集团）有限公司实际，“一企一策”确定“主营业务收入增长率、成本费用率”等项短板指标，短板指标分值权重占比</w:t>
      </w:r>
      <w:r>
        <w:rPr>
          <w:rFonts w:hint="default" w:ascii="Times New Roman" w:hAnsi="Times New Roman" w:eastAsia="仿宋" w:cs="Times New Roman"/>
          <w:color w:val="auto"/>
          <w:w w:val="95"/>
          <w:sz w:val="32"/>
          <w:szCs w:val="32"/>
          <w:highlight w:val="none"/>
          <w:lang w:val="en-US" w:eastAsia="zh-CN"/>
        </w:rPr>
        <w:t>20</w:t>
      </w:r>
      <w:r>
        <w:rPr>
          <w:rFonts w:hint="eastAsia" w:ascii="Times New Roman" w:hAnsi="Times New Roman" w:eastAsia="仿宋" w:cs="Times New Roman"/>
          <w:color w:val="auto"/>
          <w:w w:val="95"/>
          <w:sz w:val="32"/>
          <w:szCs w:val="32"/>
          <w:highlight w:val="none"/>
          <w:lang w:val="en-US" w:eastAsia="zh-CN"/>
        </w:rPr>
        <w:t>%。短板指标改善评分以上年度完成值为基准值，各年度具体指标、权重和计分细则由履行出资人职责部门确定。</w:t>
      </w:r>
      <w:r>
        <w:rPr>
          <w:rFonts w:hint="eastAsia" w:ascii="Times New Roman" w:hAnsi="Times New Roman" w:eastAsia="仿宋" w:cs="Times New Roman"/>
          <w:color w:val="auto"/>
          <w:w w:val="95"/>
          <w:sz w:val="32"/>
          <w:szCs w:val="32"/>
          <w:highlight w:val="none"/>
          <w:lang w:val="en-US" w:eastAsia="zh-CN"/>
        </w:rPr>
        <w:tab/>
      </w:r>
    </w:p>
    <w:tbl>
      <w:tblPr>
        <w:tblStyle w:val="8"/>
        <w:tblW w:w="9064" w:type="dxa"/>
        <w:jc w:val="center"/>
        <w:tblInd w:w="0" w:type="dxa"/>
        <w:tblLayout w:type="fixed"/>
        <w:tblCellMar>
          <w:top w:w="0" w:type="dxa"/>
          <w:left w:w="10" w:type="dxa"/>
          <w:bottom w:w="0" w:type="dxa"/>
          <w:right w:w="10" w:type="dxa"/>
        </w:tblCellMar>
      </w:tblPr>
      <w:tblGrid>
        <w:gridCol w:w="734"/>
        <w:gridCol w:w="907"/>
        <w:gridCol w:w="1090"/>
        <w:gridCol w:w="912"/>
        <w:gridCol w:w="4881"/>
        <w:gridCol w:w="540"/>
      </w:tblGrid>
      <w:tr>
        <w:tblPrEx>
          <w:tblLayout w:type="fixed"/>
          <w:tblCellMar>
            <w:top w:w="0" w:type="dxa"/>
            <w:left w:w="10" w:type="dxa"/>
            <w:bottom w:w="0" w:type="dxa"/>
            <w:right w:w="10" w:type="dxa"/>
          </w:tblCellMar>
        </w:tblPrEx>
        <w:trPr>
          <w:trHeight w:val="638" w:hRule="exact"/>
          <w:jc w:val="center"/>
        </w:trPr>
        <w:tc>
          <w:tcPr>
            <w:tcW w:w="734"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序号</w:t>
            </w:r>
          </w:p>
        </w:tc>
        <w:tc>
          <w:tcPr>
            <w:tcW w:w="907"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302" w:lineRule="exact"/>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补短板指标</w:t>
            </w:r>
          </w:p>
        </w:tc>
        <w:tc>
          <w:tcPr>
            <w:tcW w:w="1090"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93" w:lineRule="exact"/>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分值（20分）</w:t>
            </w:r>
          </w:p>
        </w:tc>
        <w:tc>
          <w:tcPr>
            <w:tcW w:w="912"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left"/>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目标值</w:t>
            </w:r>
          </w:p>
        </w:tc>
        <w:tc>
          <w:tcPr>
            <w:tcW w:w="4881"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考核计分标准</w:t>
            </w:r>
          </w:p>
        </w:tc>
        <w:tc>
          <w:tcPr>
            <w:tcW w:w="540" w:type="dxa"/>
            <w:tcBorders>
              <w:top w:val="single" w:color="auto" w:sz="4" w:space="0"/>
              <w:left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left"/>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计分</w:t>
            </w:r>
          </w:p>
        </w:tc>
      </w:tr>
      <w:tr>
        <w:tblPrEx>
          <w:tblLayout w:type="fixed"/>
          <w:tblCellMar>
            <w:top w:w="0" w:type="dxa"/>
            <w:left w:w="10" w:type="dxa"/>
            <w:bottom w:w="0" w:type="dxa"/>
            <w:right w:w="10" w:type="dxa"/>
          </w:tblCellMar>
        </w:tblPrEx>
        <w:trPr>
          <w:trHeight w:val="988" w:hRule="exact"/>
          <w:jc w:val="center"/>
        </w:trPr>
        <w:tc>
          <w:tcPr>
            <w:tcW w:w="734"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color w:val="auto"/>
                <w:sz w:val="24"/>
                <w:szCs w:val="24"/>
                <w:highlight w:val="none"/>
              </w:rPr>
            </w:pPr>
            <w:r>
              <w:rPr>
                <w:rFonts w:ascii="Times New Roman" w:hAnsi="Times New Roman" w:eastAsia="Times New Roman" w:cs="Times New Roman"/>
                <w:color w:val="auto"/>
                <w:spacing w:val="0"/>
                <w:w w:val="100"/>
                <w:position w:val="0"/>
                <w:sz w:val="24"/>
                <w:szCs w:val="24"/>
                <w:highlight w:val="none"/>
              </w:rPr>
              <w:t>1</w:t>
            </w:r>
          </w:p>
        </w:tc>
        <w:tc>
          <w:tcPr>
            <w:tcW w:w="907"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305"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主营业务收入增长率</w:t>
            </w:r>
          </w:p>
        </w:tc>
        <w:tc>
          <w:tcPr>
            <w:tcW w:w="1090"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10</w:t>
            </w:r>
          </w:p>
        </w:tc>
        <w:tc>
          <w:tcPr>
            <w:tcW w:w="912" w:type="dxa"/>
            <w:tcBorders>
              <w:top w:val="single" w:color="auto" w:sz="4" w:space="0"/>
              <w:left w:val="single" w:color="auto" w:sz="4" w:space="0"/>
            </w:tcBorders>
            <w:shd w:val="clear" w:color="auto" w:fill="FFFFFF"/>
            <w:vAlign w:val="top"/>
          </w:tcPr>
          <w:p>
            <w:pPr>
              <w:widowControl w:val="0"/>
              <w:rPr>
                <w:rFonts w:hint="eastAsia" w:ascii="仿宋" w:hAnsi="仿宋" w:eastAsia="仿宋" w:cs="仿宋"/>
                <w:color w:val="auto"/>
                <w:sz w:val="24"/>
                <w:szCs w:val="24"/>
                <w:highlight w:val="none"/>
              </w:rPr>
            </w:pPr>
          </w:p>
        </w:tc>
        <w:tc>
          <w:tcPr>
            <w:tcW w:w="4881"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305" w:lineRule="exact"/>
              <w:ind w:left="0" w:right="0" w:firstLine="0"/>
              <w:jc w:val="both"/>
              <w:rPr>
                <w:rFonts w:hint="eastAsia" w:ascii="Times New Roman" w:hAnsi="Times New Roman" w:eastAsia="仿宋" w:cs="Times New Roman"/>
                <w:b w:val="0"/>
                <w:bCs w:val="0"/>
                <w:color w:val="auto"/>
                <w:spacing w:val="0"/>
                <w:w w:val="100"/>
                <w:position w:val="0"/>
                <w:sz w:val="24"/>
                <w:szCs w:val="24"/>
                <w:highlight w:val="none"/>
              </w:rPr>
            </w:pPr>
            <w:r>
              <w:rPr>
                <w:rFonts w:hint="eastAsia" w:ascii="Times New Roman" w:hAnsi="Times New Roman" w:eastAsia="仿宋" w:cs="Times New Roman"/>
                <w:b w:val="0"/>
                <w:bCs w:val="0"/>
                <w:color w:val="auto"/>
                <w:spacing w:val="0"/>
                <w:w w:val="100"/>
                <w:position w:val="0"/>
                <w:sz w:val="24"/>
                <w:szCs w:val="24"/>
                <w:highlight w:val="none"/>
              </w:rPr>
              <w:t>完成目标值，得基本分</w:t>
            </w:r>
            <w:r>
              <w:rPr>
                <w:rFonts w:hint="default" w:ascii="Times New Roman" w:hAnsi="Times New Roman" w:eastAsia="仿宋" w:cs="Times New Roman"/>
                <w:b w:val="0"/>
                <w:bCs w:val="0"/>
                <w:color w:val="auto"/>
                <w:spacing w:val="0"/>
                <w:w w:val="100"/>
                <w:position w:val="0"/>
                <w:sz w:val="24"/>
                <w:szCs w:val="24"/>
                <w:highlight w:val="none"/>
              </w:rPr>
              <w:t>9</w:t>
            </w:r>
            <w:r>
              <w:rPr>
                <w:rFonts w:hint="eastAsia" w:ascii="Times New Roman" w:hAnsi="Times New Roman" w:eastAsia="仿宋" w:cs="Times New Roman"/>
                <w:b w:val="0"/>
                <w:bCs w:val="0"/>
                <w:color w:val="auto"/>
                <w:spacing w:val="0"/>
                <w:w w:val="100"/>
                <w:position w:val="0"/>
                <w:sz w:val="24"/>
                <w:szCs w:val="24"/>
                <w:highlight w:val="none"/>
              </w:rPr>
              <w:t>分；每超过目标值</w:t>
            </w:r>
            <w:r>
              <w:rPr>
                <w:rFonts w:hint="eastAsia" w:ascii="Times New Roman" w:hAnsi="Times New Roman" w:eastAsia="仿宋" w:cs="Times New Roman"/>
                <w:b w:val="0"/>
                <w:bCs w:val="0"/>
                <w:color w:val="auto"/>
                <w:spacing w:val="0"/>
                <w:w w:val="100"/>
                <w:position w:val="0"/>
                <w:sz w:val="24"/>
                <w:szCs w:val="24"/>
                <w:highlight w:val="none"/>
                <w:lang w:val="en-US" w:eastAsia="en-US"/>
              </w:rPr>
              <w:t>0.5</w:t>
            </w:r>
            <w:r>
              <w:rPr>
                <w:rFonts w:hint="eastAsia" w:ascii="Times New Roman" w:hAnsi="Times New Roman" w:eastAsia="仿宋" w:cs="Times New Roman"/>
                <w:b w:val="0"/>
                <w:bCs w:val="0"/>
                <w:color w:val="auto"/>
                <w:spacing w:val="0"/>
                <w:w w:val="100"/>
                <w:position w:val="0"/>
                <w:sz w:val="24"/>
                <w:szCs w:val="24"/>
                <w:highlight w:val="none"/>
              </w:rPr>
              <w:t>个百分点，加</w:t>
            </w:r>
            <w:r>
              <w:rPr>
                <w:rFonts w:hint="eastAsia" w:ascii="Times New Roman" w:hAnsi="Times New Roman" w:eastAsia="仿宋" w:cs="Times New Roman"/>
                <w:b w:val="0"/>
                <w:bCs w:val="0"/>
                <w:color w:val="auto"/>
                <w:spacing w:val="0"/>
                <w:w w:val="100"/>
                <w:position w:val="0"/>
                <w:sz w:val="24"/>
                <w:szCs w:val="24"/>
                <w:highlight w:val="none"/>
                <w:lang w:val="en-US" w:eastAsia="en-US"/>
              </w:rPr>
              <w:t>0.5</w:t>
            </w:r>
            <w:r>
              <w:rPr>
                <w:rFonts w:hint="eastAsia" w:ascii="Times New Roman" w:hAnsi="Times New Roman" w:eastAsia="仿宋" w:cs="Times New Roman"/>
                <w:b w:val="0"/>
                <w:bCs w:val="0"/>
                <w:color w:val="auto"/>
                <w:spacing w:val="0"/>
                <w:w w:val="100"/>
                <w:position w:val="0"/>
                <w:sz w:val="24"/>
                <w:szCs w:val="24"/>
                <w:highlight w:val="none"/>
              </w:rPr>
              <w:t>分，最多加1分</w:t>
            </w:r>
            <w:r>
              <w:rPr>
                <w:rFonts w:hint="eastAsia" w:ascii="Times New Roman" w:hAnsi="Times New Roman" w:eastAsia="仿宋" w:cs="Times New Roman"/>
                <w:b w:val="0"/>
                <w:bCs w:val="0"/>
                <w:color w:val="auto"/>
                <w:spacing w:val="0"/>
                <w:w w:val="100"/>
                <w:position w:val="0"/>
                <w:sz w:val="24"/>
                <w:szCs w:val="24"/>
                <w:highlight w:val="none"/>
                <w:lang w:eastAsia="zh-CN"/>
              </w:rPr>
              <w:t>；</w:t>
            </w:r>
            <w:r>
              <w:rPr>
                <w:rFonts w:hint="eastAsia" w:ascii="Times New Roman" w:hAnsi="Times New Roman" w:eastAsia="仿宋" w:cs="Times New Roman"/>
                <w:b w:val="0"/>
                <w:bCs w:val="0"/>
                <w:color w:val="auto"/>
                <w:spacing w:val="0"/>
                <w:w w:val="100"/>
                <w:position w:val="0"/>
                <w:sz w:val="24"/>
                <w:szCs w:val="24"/>
                <w:highlight w:val="none"/>
              </w:rPr>
              <w:t>每低于目标值</w:t>
            </w:r>
            <w:r>
              <w:rPr>
                <w:rFonts w:hint="eastAsia" w:ascii="Times New Roman" w:hAnsi="Times New Roman" w:eastAsia="仿宋" w:cs="Times New Roman"/>
                <w:b w:val="0"/>
                <w:bCs w:val="0"/>
                <w:color w:val="auto"/>
                <w:spacing w:val="0"/>
                <w:w w:val="100"/>
                <w:position w:val="0"/>
                <w:sz w:val="24"/>
                <w:szCs w:val="24"/>
                <w:highlight w:val="none"/>
                <w:lang w:val="en-US" w:eastAsia="en-US"/>
              </w:rPr>
              <w:t>0.5</w:t>
            </w:r>
            <w:r>
              <w:rPr>
                <w:rFonts w:hint="eastAsia" w:ascii="Times New Roman" w:hAnsi="Times New Roman" w:eastAsia="仿宋" w:cs="Times New Roman"/>
                <w:b w:val="0"/>
                <w:bCs w:val="0"/>
                <w:color w:val="auto"/>
                <w:spacing w:val="0"/>
                <w:w w:val="100"/>
                <w:position w:val="0"/>
                <w:sz w:val="24"/>
                <w:szCs w:val="24"/>
                <w:highlight w:val="none"/>
              </w:rPr>
              <w:t>个百分点，扣基本分</w:t>
            </w:r>
            <w:r>
              <w:rPr>
                <w:rFonts w:hint="eastAsia" w:ascii="Times New Roman" w:hAnsi="Times New Roman" w:eastAsia="仿宋" w:cs="Times New Roman"/>
                <w:b w:val="0"/>
                <w:bCs w:val="0"/>
                <w:color w:val="auto"/>
                <w:spacing w:val="0"/>
                <w:w w:val="100"/>
                <w:position w:val="0"/>
                <w:sz w:val="24"/>
                <w:szCs w:val="24"/>
                <w:highlight w:val="none"/>
                <w:lang w:val="en-US" w:eastAsia="en-US"/>
              </w:rPr>
              <w:t>0.5</w:t>
            </w:r>
            <w:r>
              <w:rPr>
                <w:rFonts w:hint="eastAsia" w:ascii="Times New Roman" w:hAnsi="Times New Roman" w:eastAsia="仿宋" w:cs="Times New Roman"/>
                <w:b w:val="0"/>
                <w:bCs w:val="0"/>
                <w:color w:val="auto"/>
                <w:spacing w:val="0"/>
                <w:w w:val="100"/>
                <w:position w:val="0"/>
                <w:sz w:val="24"/>
                <w:szCs w:val="24"/>
                <w:highlight w:val="none"/>
              </w:rPr>
              <w:t>分，最多扣9分。</w:t>
            </w:r>
          </w:p>
        </w:tc>
        <w:tc>
          <w:tcPr>
            <w:tcW w:w="540" w:type="dxa"/>
            <w:tcBorders>
              <w:top w:val="single" w:color="auto" w:sz="4" w:space="0"/>
              <w:left w:val="single" w:color="auto" w:sz="4" w:space="0"/>
              <w:right w:val="single" w:color="auto" w:sz="4" w:space="0"/>
            </w:tcBorders>
            <w:shd w:val="clear" w:color="auto" w:fill="FFFFFF"/>
            <w:vAlign w:val="top"/>
          </w:tcPr>
          <w:p>
            <w:pPr>
              <w:widowControl w:val="0"/>
              <w:rPr>
                <w:color w:val="auto"/>
                <w:sz w:val="24"/>
                <w:szCs w:val="24"/>
                <w:highlight w:val="none"/>
              </w:rPr>
            </w:pPr>
          </w:p>
        </w:tc>
      </w:tr>
      <w:tr>
        <w:tblPrEx>
          <w:tblLayout w:type="fixed"/>
          <w:tblCellMar>
            <w:top w:w="0" w:type="dxa"/>
            <w:left w:w="10" w:type="dxa"/>
            <w:bottom w:w="0" w:type="dxa"/>
            <w:right w:w="10" w:type="dxa"/>
          </w:tblCellMar>
        </w:tblPrEx>
        <w:trPr>
          <w:trHeight w:val="973" w:hRule="exact"/>
          <w:jc w:val="center"/>
        </w:trPr>
        <w:tc>
          <w:tcPr>
            <w:tcW w:w="734"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color w:val="auto"/>
                <w:sz w:val="24"/>
                <w:szCs w:val="24"/>
                <w:highlight w:val="none"/>
              </w:rPr>
            </w:pPr>
            <w:r>
              <w:rPr>
                <w:rFonts w:ascii="Times New Roman" w:hAnsi="Times New Roman" w:eastAsia="Times New Roman" w:cs="Times New Roman"/>
                <w:color w:val="auto"/>
                <w:spacing w:val="0"/>
                <w:w w:val="100"/>
                <w:position w:val="0"/>
                <w:sz w:val="24"/>
                <w:szCs w:val="24"/>
                <w:highlight w:val="none"/>
              </w:rPr>
              <w:t>2</w:t>
            </w:r>
          </w:p>
        </w:tc>
        <w:tc>
          <w:tcPr>
            <w:tcW w:w="907"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307"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成本费用率</w:t>
            </w:r>
          </w:p>
        </w:tc>
        <w:tc>
          <w:tcPr>
            <w:tcW w:w="1090"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10</w:t>
            </w:r>
          </w:p>
        </w:tc>
        <w:tc>
          <w:tcPr>
            <w:tcW w:w="912" w:type="dxa"/>
            <w:tcBorders>
              <w:top w:val="single" w:color="auto" w:sz="4" w:space="0"/>
              <w:left w:val="single" w:color="auto" w:sz="4" w:space="0"/>
              <w:bottom w:val="single" w:color="auto" w:sz="4" w:space="0"/>
            </w:tcBorders>
            <w:shd w:val="clear" w:color="auto" w:fill="FFFFFF"/>
            <w:vAlign w:val="top"/>
          </w:tcPr>
          <w:p>
            <w:pPr>
              <w:widowControl w:val="0"/>
              <w:rPr>
                <w:rFonts w:hint="eastAsia" w:ascii="仿宋" w:hAnsi="仿宋" w:eastAsia="仿宋" w:cs="仿宋"/>
                <w:color w:val="auto"/>
                <w:sz w:val="24"/>
                <w:szCs w:val="24"/>
                <w:highlight w:val="none"/>
              </w:rPr>
            </w:pPr>
          </w:p>
        </w:tc>
        <w:tc>
          <w:tcPr>
            <w:tcW w:w="4881" w:type="dxa"/>
            <w:tcBorders>
              <w:top w:val="single" w:color="auto" w:sz="4" w:space="0"/>
              <w:left w:val="single" w:color="auto" w:sz="4" w:space="0"/>
              <w:bottom w:val="single" w:color="auto" w:sz="4" w:space="0"/>
            </w:tcBorders>
            <w:shd w:val="clear" w:color="auto" w:fill="FFFFFF"/>
            <w:vAlign w:val="bottom"/>
          </w:tcPr>
          <w:p>
            <w:pPr>
              <w:pStyle w:val="14"/>
              <w:keepNext w:val="0"/>
              <w:keepLines w:val="0"/>
              <w:widowControl w:val="0"/>
              <w:shd w:val="clear" w:color="auto" w:fill="auto"/>
              <w:bidi w:val="0"/>
              <w:spacing w:before="0" w:after="0" w:line="305" w:lineRule="exact"/>
              <w:ind w:left="0" w:right="0" w:firstLine="0"/>
              <w:jc w:val="both"/>
              <w:rPr>
                <w:rFonts w:hint="eastAsia" w:ascii="Times New Roman" w:hAnsi="Times New Roman" w:eastAsia="仿宋" w:cs="Times New Roman"/>
                <w:b w:val="0"/>
                <w:bCs w:val="0"/>
                <w:color w:val="auto"/>
                <w:spacing w:val="0"/>
                <w:w w:val="100"/>
                <w:position w:val="0"/>
                <w:sz w:val="24"/>
                <w:szCs w:val="24"/>
                <w:highlight w:val="none"/>
              </w:rPr>
            </w:pPr>
            <w:r>
              <w:rPr>
                <w:rFonts w:hint="eastAsia" w:ascii="Times New Roman" w:hAnsi="Times New Roman" w:eastAsia="仿宋" w:cs="Times New Roman"/>
                <w:b w:val="0"/>
                <w:bCs w:val="0"/>
                <w:color w:val="auto"/>
                <w:spacing w:val="0"/>
                <w:w w:val="100"/>
                <w:position w:val="0"/>
                <w:sz w:val="24"/>
                <w:szCs w:val="24"/>
                <w:highlight w:val="none"/>
              </w:rPr>
              <w:t>完成目标值，得基本分9分；每低于目标值</w:t>
            </w:r>
            <w:r>
              <w:rPr>
                <w:rFonts w:hint="eastAsia" w:ascii="Times New Roman" w:hAnsi="Times New Roman" w:eastAsia="仿宋" w:cs="Times New Roman"/>
                <w:b w:val="0"/>
                <w:bCs w:val="0"/>
                <w:color w:val="auto"/>
                <w:spacing w:val="0"/>
                <w:w w:val="100"/>
                <w:position w:val="0"/>
                <w:sz w:val="24"/>
                <w:szCs w:val="24"/>
                <w:highlight w:val="none"/>
                <w:lang w:val="en-US" w:eastAsia="en-US"/>
              </w:rPr>
              <w:t>0.5</w:t>
            </w:r>
            <w:r>
              <w:rPr>
                <w:rFonts w:hint="eastAsia" w:ascii="Times New Roman" w:hAnsi="Times New Roman" w:eastAsia="仿宋" w:cs="Times New Roman"/>
                <w:b w:val="0"/>
                <w:bCs w:val="0"/>
                <w:color w:val="auto"/>
                <w:spacing w:val="0"/>
                <w:w w:val="100"/>
                <w:position w:val="0"/>
                <w:sz w:val="24"/>
                <w:szCs w:val="24"/>
                <w:highlight w:val="none"/>
              </w:rPr>
              <w:t>个百分点，加</w:t>
            </w:r>
            <w:r>
              <w:rPr>
                <w:rFonts w:hint="eastAsia" w:ascii="Times New Roman" w:hAnsi="Times New Roman" w:eastAsia="仿宋" w:cs="Times New Roman"/>
                <w:b w:val="0"/>
                <w:bCs w:val="0"/>
                <w:color w:val="auto"/>
                <w:spacing w:val="0"/>
                <w:w w:val="100"/>
                <w:position w:val="0"/>
                <w:sz w:val="24"/>
                <w:szCs w:val="24"/>
                <w:highlight w:val="none"/>
                <w:lang w:val="en-US" w:eastAsia="en-US"/>
              </w:rPr>
              <w:t>0.5</w:t>
            </w:r>
            <w:r>
              <w:rPr>
                <w:rFonts w:hint="eastAsia" w:ascii="Times New Roman" w:hAnsi="Times New Roman" w:eastAsia="仿宋" w:cs="Times New Roman"/>
                <w:b w:val="0"/>
                <w:bCs w:val="0"/>
                <w:color w:val="auto"/>
                <w:spacing w:val="0"/>
                <w:w w:val="100"/>
                <w:position w:val="0"/>
                <w:sz w:val="24"/>
                <w:szCs w:val="24"/>
                <w:highlight w:val="none"/>
              </w:rPr>
              <w:t>分，最多加1分；每高于目标值</w:t>
            </w:r>
            <w:r>
              <w:rPr>
                <w:rFonts w:hint="eastAsia" w:ascii="Times New Roman" w:hAnsi="Times New Roman" w:eastAsia="仿宋" w:cs="Times New Roman"/>
                <w:b w:val="0"/>
                <w:bCs w:val="0"/>
                <w:color w:val="auto"/>
                <w:spacing w:val="0"/>
                <w:w w:val="100"/>
                <w:position w:val="0"/>
                <w:sz w:val="24"/>
                <w:szCs w:val="24"/>
                <w:highlight w:val="none"/>
                <w:lang w:val="en-US" w:eastAsia="en-US"/>
              </w:rPr>
              <w:t>0.5</w:t>
            </w:r>
            <w:r>
              <w:rPr>
                <w:rFonts w:hint="eastAsia" w:ascii="Times New Roman" w:hAnsi="Times New Roman" w:eastAsia="仿宋" w:cs="Times New Roman"/>
                <w:b w:val="0"/>
                <w:bCs w:val="0"/>
                <w:color w:val="auto"/>
                <w:spacing w:val="0"/>
                <w:w w:val="100"/>
                <w:position w:val="0"/>
                <w:sz w:val="24"/>
                <w:szCs w:val="24"/>
                <w:highlight w:val="none"/>
              </w:rPr>
              <w:t>个百分点，扣基本分</w:t>
            </w:r>
            <w:r>
              <w:rPr>
                <w:rFonts w:hint="eastAsia" w:ascii="Times New Roman" w:hAnsi="Times New Roman" w:eastAsia="仿宋" w:cs="Times New Roman"/>
                <w:b w:val="0"/>
                <w:bCs w:val="0"/>
                <w:color w:val="auto"/>
                <w:spacing w:val="0"/>
                <w:w w:val="100"/>
                <w:position w:val="0"/>
                <w:sz w:val="24"/>
                <w:szCs w:val="24"/>
                <w:highlight w:val="none"/>
                <w:lang w:val="en-US" w:eastAsia="en-US"/>
              </w:rPr>
              <w:t>0.5</w:t>
            </w:r>
            <w:r>
              <w:rPr>
                <w:rFonts w:hint="eastAsia" w:ascii="Times New Roman" w:hAnsi="Times New Roman" w:eastAsia="仿宋" w:cs="Times New Roman"/>
                <w:b w:val="0"/>
                <w:bCs w:val="0"/>
                <w:color w:val="auto"/>
                <w:spacing w:val="0"/>
                <w:w w:val="100"/>
                <w:position w:val="0"/>
                <w:sz w:val="24"/>
                <w:szCs w:val="24"/>
                <w:highlight w:val="none"/>
              </w:rPr>
              <w:t>分，最多扣9分。</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color w:val="auto"/>
                <w:sz w:val="24"/>
                <w:szCs w:val="24"/>
                <w:highlight w:val="none"/>
              </w:rPr>
            </w:pPr>
          </w:p>
        </w:tc>
      </w:tr>
    </w:tbl>
    <w:p>
      <w:pPr>
        <w:keepNext w:val="0"/>
        <w:keepLines w:val="0"/>
        <w:pageBreakBefore w:val="0"/>
        <w:widowControl w:val="0"/>
        <w:numPr>
          <w:ilvl w:val="8"/>
          <w:numId w:val="0"/>
        </w:numPr>
        <w:shd w:val="clear" w:color="auto" w:fill="auto"/>
        <w:kinsoku/>
        <w:wordWrap/>
        <w:overflowPunct/>
        <w:topLinePunct w:val="0"/>
        <w:autoSpaceDE/>
        <w:autoSpaceDN/>
        <w:bidi w:val="0"/>
        <w:adjustRightInd/>
        <w:snapToGrid/>
        <w:spacing w:line="240" w:lineRule="auto"/>
        <w:ind w:right="0" w:rightChars="0" w:firstLine="611" w:firstLineChars="200"/>
        <w:jc w:val="both"/>
        <w:textAlignment w:val="auto"/>
        <w:rPr>
          <w:rFonts w:hint="eastAsia" w:ascii="Times New Roman" w:hAnsi="Times New Roman" w:eastAsia="仿宋" w:cs="Times New Roman"/>
          <w:b/>
          <w:bCs/>
          <w:color w:val="auto"/>
          <w:w w:val="95"/>
          <w:sz w:val="32"/>
          <w:szCs w:val="32"/>
          <w:highlight w:val="none"/>
          <w:lang w:val="en-US" w:eastAsia="zh-CN"/>
        </w:rPr>
      </w:pPr>
      <w:r>
        <w:rPr>
          <w:rFonts w:hint="eastAsia" w:ascii="Times New Roman" w:hAnsi="Times New Roman" w:eastAsia="仿宋" w:cs="Times New Roman"/>
          <w:b/>
          <w:bCs/>
          <w:color w:val="auto"/>
          <w:w w:val="95"/>
          <w:sz w:val="32"/>
          <w:szCs w:val="32"/>
          <w:highlight w:val="none"/>
          <w:lang w:val="en-US" w:eastAsia="zh-CN"/>
        </w:rPr>
        <w:t>3.非经济指标考核评价细则</w:t>
      </w:r>
    </w:p>
    <w:p>
      <w:pPr>
        <w:keepNext w:val="0"/>
        <w:keepLines w:val="0"/>
        <w:pageBreakBefore w:val="0"/>
        <w:widowControl w:val="0"/>
        <w:numPr>
          <w:ilvl w:val="8"/>
          <w:numId w:val="0"/>
        </w:numPr>
        <w:shd w:val="clear" w:color="auto" w:fill="auto"/>
        <w:kinsoku/>
        <w:wordWrap/>
        <w:overflowPunct/>
        <w:topLinePunct w:val="0"/>
        <w:autoSpaceDE/>
        <w:autoSpaceDN/>
        <w:bidi w:val="0"/>
        <w:adjustRightInd/>
        <w:snapToGrid/>
        <w:spacing w:line="240" w:lineRule="auto"/>
        <w:ind w:right="0" w:rightChars="0" w:firstLine="608" w:firstLineChars="200"/>
        <w:jc w:val="both"/>
        <w:textAlignment w:val="auto"/>
        <w:rPr>
          <w:rFonts w:hint="eastAsia" w:ascii="Times New Roman" w:hAnsi="Times New Roman" w:eastAsia="仿宋" w:cs="Times New Roman"/>
          <w:color w:val="auto"/>
          <w:w w:val="95"/>
          <w:sz w:val="32"/>
          <w:szCs w:val="32"/>
          <w:highlight w:val="none"/>
          <w:lang w:val="en-US" w:eastAsia="zh-CN"/>
        </w:rPr>
      </w:pPr>
      <w:r>
        <w:rPr>
          <w:rFonts w:hint="eastAsia" w:ascii="Times New Roman" w:hAnsi="Times New Roman" w:eastAsia="仿宋" w:cs="Times New Roman"/>
          <w:color w:val="auto"/>
          <w:w w:val="95"/>
          <w:sz w:val="32"/>
          <w:szCs w:val="32"/>
          <w:highlight w:val="none"/>
          <w:lang w:val="en-US" w:eastAsia="zh-CN"/>
        </w:rPr>
        <w:t>结合区工业开发投资（集团）有限公司实际，根据工作需要考核安全生产、信访维稳指标，非经济指标考核评价分值权重占比10%。</w:t>
      </w:r>
    </w:p>
    <w:tbl>
      <w:tblPr>
        <w:tblStyle w:val="8"/>
        <w:tblW w:w="88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88"/>
        <w:gridCol w:w="730"/>
        <w:gridCol w:w="1012"/>
        <w:gridCol w:w="845"/>
        <w:gridCol w:w="5145"/>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910" w:hRule="exact"/>
          <w:jc w:val="center"/>
        </w:trPr>
        <w:tc>
          <w:tcPr>
            <w:tcW w:w="488" w:type="dxa"/>
            <w:shd w:val="clear" w:color="auto" w:fill="FFFFFF"/>
            <w:vAlign w:val="center"/>
          </w:tcPr>
          <w:p>
            <w:pPr>
              <w:pStyle w:val="14"/>
              <w:keepNext w:val="0"/>
              <w:keepLines w:val="0"/>
              <w:widowControl w:val="0"/>
              <w:shd w:val="clear" w:color="auto" w:fill="auto"/>
              <w:bidi w:val="0"/>
              <w:spacing w:before="0" w:after="0" w:line="240" w:lineRule="auto"/>
              <w:ind w:left="0" w:leftChars="0" w:right="0" w:firstLine="0" w:firstLineChars="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序号</w:t>
            </w:r>
          </w:p>
        </w:tc>
        <w:tc>
          <w:tcPr>
            <w:tcW w:w="730" w:type="dxa"/>
            <w:shd w:val="clear" w:color="auto" w:fill="FFFFFF"/>
            <w:vAlign w:val="bottom"/>
          </w:tcPr>
          <w:p>
            <w:pPr>
              <w:pStyle w:val="14"/>
              <w:keepNext w:val="0"/>
              <w:keepLines w:val="0"/>
              <w:widowControl w:val="0"/>
              <w:shd w:val="clear" w:color="auto" w:fill="auto"/>
              <w:bidi w:val="0"/>
              <w:spacing w:before="0" w:after="0" w:line="307" w:lineRule="exact"/>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非经济指标</w:t>
            </w:r>
          </w:p>
        </w:tc>
        <w:tc>
          <w:tcPr>
            <w:tcW w:w="1012" w:type="dxa"/>
            <w:shd w:val="clear" w:color="auto" w:fill="FFFFFF"/>
            <w:vAlign w:val="bottom"/>
          </w:tcPr>
          <w:p>
            <w:pPr>
              <w:pStyle w:val="14"/>
              <w:keepNext w:val="0"/>
              <w:keepLines w:val="0"/>
              <w:widowControl w:val="0"/>
              <w:shd w:val="clear" w:color="auto" w:fill="auto"/>
              <w:bidi w:val="0"/>
              <w:spacing w:before="0" w:after="0" w:line="288" w:lineRule="exact"/>
              <w:ind w:left="0" w:right="0" w:firstLine="0"/>
              <w:jc w:val="center"/>
              <w:rPr>
                <w:rFonts w:hint="eastAsia" w:ascii="黑体" w:hAnsi="黑体" w:eastAsia="黑体" w:cs="黑体"/>
                <w:color w:val="auto"/>
                <w:spacing w:val="0"/>
                <w:w w:val="100"/>
                <w:position w:val="0"/>
                <w:sz w:val="24"/>
                <w:szCs w:val="24"/>
                <w:highlight w:val="none"/>
              </w:rPr>
            </w:pPr>
            <w:r>
              <w:rPr>
                <w:rFonts w:hint="eastAsia" w:ascii="黑体" w:hAnsi="黑体" w:eastAsia="黑体" w:cs="黑体"/>
                <w:color w:val="auto"/>
                <w:spacing w:val="0"/>
                <w:w w:val="100"/>
                <w:position w:val="0"/>
                <w:sz w:val="24"/>
                <w:szCs w:val="24"/>
                <w:highlight w:val="none"/>
              </w:rPr>
              <w:t>分值</w:t>
            </w:r>
          </w:p>
          <w:p>
            <w:pPr>
              <w:pStyle w:val="14"/>
              <w:keepNext w:val="0"/>
              <w:keepLines w:val="0"/>
              <w:widowControl w:val="0"/>
              <w:shd w:val="clear" w:color="auto" w:fill="auto"/>
              <w:bidi w:val="0"/>
              <w:spacing w:before="0" w:after="0" w:line="288" w:lineRule="exact"/>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（10分）</w:t>
            </w:r>
          </w:p>
        </w:tc>
        <w:tc>
          <w:tcPr>
            <w:tcW w:w="845" w:type="dxa"/>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目标值</w:t>
            </w:r>
          </w:p>
        </w:tc>
        <w:tc>
          <w:tcPr>
            <w:tcW w:w="5145" w:type="dxa"/>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考核计分标准</w:t>
            </w:r>
          </w:p>
        </w:tc>
        <w:tc>
          <w:tcPr>
            <w:tcW w:w="639" w:type="dxa"/>
            <w:shd w:val="clear" w:color="auto" w:fill="FFFFFF"/>
            <w:vAlign w:val="center"/>
          </w:tcPr>
          <w:p>
            <w:pPr>
              <w:pStyle w:val="14"/>
              <w:keepNext w:val="0"/>
              <w:keepLines w:val="0"/>
              <w:widowControl w:val="0"/>
              <w:shd w:val="clear" w:color="auto" w:fill="auto"/>
              <w:bidi w:val="0"/>
              <w:spacing w:before="0" w:after="0" w:line="240" w:lineRule="auto"/>
              <w:ind w:left="0" w:right="180" w:firstLine="0"/>
              <w:jc w:val="right"/>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430" w:hRule="exact"/>
          <w:jc w:val="center"/>
        </w:trPr>
        <w:tc>
          <w:tcPr>
            <w:tcW w:w="488" w:type="dxa"/>
            <w:shd w:val="clear" w:color="auto" w:fill="FFFFFF"/>
            <w:vAlign w:val="center"/>
          </w:tcPr>
          <w:p>
            <w:pPr>
              <w:pStyle w:val="14"/>
              <w:keepNext w:val="0"/>
              <w:keepLines w:val="0"/>
              <w:widowControl w:val="0"/>
              <w:shd w:val="clear" w:color="auto" w:fill="auto"/>
              <w:bidi w:val="0"/>
              <w:spacing w:before="0" w:after="0" w:line="269" w:lineRule="exact"/>
              <w:ind w:left="0" w:right="0" w:firstLine="0"/>
              <w:jc w:val="center"/>
              <w:rPr>
                <w:rFonts w:hint="eastAsia" w:ascii="Times New Roman" w:hAnsi="Times New Roman" w:eastAsia="仿宋" w:cs="Times New Roman"/>
                <w:b w:val="0"/>
                <w:bCs w:val="0"/>
                <w:color w:val="auto"/>
                <w:spacing w:val="0"/>
                <w:w w:val="100"/>
                <w:position w:val="0"/>
                <w:sz w:val="24"/>
                <w:szCs w:val="24"/>
                <w:highlight w:val="none"/>
                <w:lang w:val="en-US" w:eastAsia="en-US"/>
              </w:rPr>
            </w:pPr>
            <w:r>
              <w:rPr>
                <w:rFonts w:hint="eastAsia" w:ascii="Times New Roman" w:hAnsi="Times New Roman" w:eastAsia="仿宋" w:cs="Times New Roman"/>
                <w:b w:val="0"/>
                <w:bCs w:val="0"/>
                <w:color w:val="auto"/>
                <w:spacing w:val="0"/>
                <w:w w:val="100"/>
                <w:position w:val="0"/>
                <w:sz w:val="24"/>
                <w:szCs w:val="24"/>
                <w:highlight w:val="none"/>
                <w:lang w:val="en-US" w:eastAsia="en-US"/>
              </w:rPr>
              <w:t>1</w:t>
            </w:r>
          </w:p>
        </w:tc>
        <w:tc>
          <w:tcPr>
            <w:tcW w:w="730" w:type="dxa"/>
            <w:shd w:val="clear" w:color="auto" w:fill="FFFFFF"/>
            <w:vAlign w:val="center"/>
          </w:tcPr>
          <w:p>
            <w:pPr>
              <w:pStyle w:val="14"/>
              <w:keepNext w:val="0"/>
              <w:keepLines w:val="0"/>
              <w:widowControl w:val="0"/>
              <w:shd w:val="clear" w:color="auto" w:fill="auto"/>
              <w:bidi w:val="0"/>
              <w:spacing w:before="0" w:after="0" w:line="269" w:lineRule="exact"/>
              <w:ind w:left="0" w:right="0" w:firstLine="0"/>
              <w:jc w:val="center"/>
              <w:rPr>
                <w:rFonts w:hint="eastAsia" w:ascii="Times New Roman" w:hAnsi="Times New Roman" w:eastAsia="仿宋" w:cs="Times New Roman"/>
                <w:b w:val="0"/>
                <w:bCs w:val="0"/>
                <w:color w:val="auto"/>
                <w:spacing w:val="0"/>
                <w:w w:val="100"/>
                <w:position w:val="0"/>
                <w:sz w:val="24"/>
                <w:szCs w:val="24"/>
                <w:highlight w:val="none"/>
                <w:lang w:val="en-US" w:eastAsia="en-US"/>
              </w:rPr>
            </w:pPr>
            <w:r>
              <w:rPr>
                <w:rFonts w:hint="eastAsia" w:ascii="Times New Roman" w:hAnsi="Times New Roman" w:eastAsia="仿宋" w:cs="Times New Roman"/>
                <w:b w:val="0"/>
                <w:bCs w:val="0"/>
                <w:color w:val="auto"/>
                <w:spacing w:val="0"/>
                <w:w w:val="100"/>
                <w:position w:val="0"/>
                <w:sz w:val="24"/>
                <w:szCs w:val="24"/>
                <w:highlight w:val="none"/>
                <w:lang w:val="en-US" w:eastAsia="en-US"/>
              </w:rPr>
              <w:t>安全生产</w:t>
            </w:r>
          </w:p>
        </w:tc>
        <w:tc>
          <w:tcPr>
            <w:tcW w:w="1012" w:type="dxa"/>
            <w:shd w:val="clear" w:color="auto" w:fill="FFFFFF"/>
            <w:vAlign w:val="center"/>
          </w:tcPr>
          <w:p>
            <w:pPr>
              <w:pStyle w:val="14"/>
              <w:keepNext w:val="0"/>
              <w:keepLines w:val="0"/>
              <w:widowControl w:val="0"/>
              <w:shd w:val="clear" w:color="auto" w:fill="auto"/>
              <w:bidi w:val="0"/>
              <w:spacing w:before="0" w:after="0" w:line="269" w:lineRule="exact"/>
              <w:ind w:left="0" w:right="0" w:firstLine="0"/>
              <w:jc w:val="center"/>
              <w:rPr>
                <w:rFonts w:hint="eastAsia" w:ascii="Times New Roman" w:hAnsi="Times New Roman" w:eastAsia="仿宋" w:cs="Times New Roman"/>
                <w:b w:val="0"/>
                <w:bCs w:val="0"/>
                <w:color w:val="auto"/>
                <w:spacing w:val="0"/>
                <w:w w:val="100"/>
                <w:position w:val="0"/>
                <w:sz w:val="24"/>
                <w:szCs w:val="24"/>
                <w:highlight w:val="none"/>
                <w:lang w:val="en-US" w:eastAsia="en-US"/>
              </w:rPr>
            </w:pPr>
            <w:r>
              <w:rPr>
                <w:rFonts w:hint="eastAsia" w:ascii="Times New Roman" w:hAnsi="Times New Roman" w:eastAsia="仿宋" w:cs="Times New Roman"/>
                <w:b w:val="0"/>
                <w:bCs w:val="0"/>
                <w:color w:val="auto"/>
                <w:spacing w:val="0"/>
                <w:w w:val="100"/>
                <w:position w:val="0"/>
                <w:sz w:val="24"/>
                <w:szCs w:val="24"/>
                <w:highlight w:val="none"/>
                <w:lang w:val="en-US" w:eastAsia="en-US"/>
              </w:rPr>
              <w:t>5</w:t>
            </w:r>
          </w:p>
        </w:tc>
        <w:tc>
          <w:tcPr>
            <w:tcW w:w="845" w:type="dxa"/>
            <w:shd w:val="clear" w:color="auto" w:fill="FFFFFF"/>
            <w:vAlign w:val="top"/>
          </w:tcPr>
          <w:p>
            <w:pPr>
              <w:pStyle w:val="14"/>
              <w:keepNext w:val="0"/>
              <w:keepLines w:val="0"/>
              <w:widowControl w:val="0"/>
              <w:shd w:val="clear" w:color="auto" w:fill="auto"/>
              <w:bidi w:val="0"/>
              <w:spacing w:before="0" w:after="0" w:line="269" w:lineRule="exact"/>
              <w:ind w:left="0" w:right="0" w:firstLine="0"/>
              <w:jc w:val="both"/>
              <w:rPr>
                <w:rFonts w:hint="eastAsia" w:ascii="Times New Roman" w:hAnsi="Times New Roman" w:eastAsia="仿宋" w:cs="Times New Roman"/>
                <w:b w:val="0"/>
                <w:bCs w:val="0"/>
                <w:color w:val="auto"/>
                <w:spacing w:val="0"/>
                <w:w w:val="100"/>
                <w:position w:val="0"/>
                <w:sz w:val="24"/>
                <w:szCs w:val="24"/>
                <w:highlight w:val="none"/>
                <w:lang w:val="en-US" w:eastAsia="en-US"/>
              </w:rPr>
            </w:pPr>
          </w:p>
        </w:tc>
        <w:tc>
          <w:tcPr>
            <w:tcW w:w="5145" w:type="dxa"/>
            <w:shd w:val="clear" w:color="auto" w:fill="FFFFFF"/>
            <w:vAlign w:val="bottom"/>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eastAsia" w:ascii="Times New Roman" w:hAnsi="Times New Roman" w:eastAsia="仿宋" w:cs="Times New Roman"/>
                <w:b w:val="0"/>
                <w:bCs w:val="0"/>
                <w:color w:val="auto"/>
                <w:spacing w:val="0"/>
                <w:w w:val="100"/>
                <w:position w:val="0"/>
                <w:sz w:val="24"/>
                <w:szCs w:val="24"/>
                <w:highlight w:val="none"/>
                <w:lang w:val="en-US" w:eastAsia="en-US"/>
              </w:rPr>
            </w:pPr>
            <w:r>
              <w:rPr>
                <w:rFonts w:hint="eastAsia" w:ascii="Times New Roman" w:hAnsi="Times New Roman" w:eastAsia="仿宋" w:cs="Times New Roman"/>
                <w:b w:val="0"/>
                <w:bCs w:val="0"/>
                <w:color w:val="auto"/>
                <w:spacing w:val="0"/>
                <w:w w:val="100"/>
                <w:position w:val="0"/>
                <w:sz w:val="24"/>
                <w:szCs w:val="24"/>
                <w:highlight w:val="none"/>
                <w:lang w:val="en-US" w:eastAsia="en-US"/>
              </w:rPr>
              <w:t>建立健全安全生产制度及机构（1分）；无工作机构及制度不得分。制定年度安全生产工作计划，工作有安排部署，检查落实到位（2分），反之不得分。年内未出现安全生产事故（2分）；出现重大安全生产事故本条不得分,并按照扣分标准扣分或者下调考核等级。</w:t>
            </w:r>
          </w:p>
        </w:tc>
        <w:tc>
          <w:tcPr>
            <w:tcW w:w="639" w:type="dxa"/>
            <w:shd w:val="clear" w:color="auto" w:fill="FFFFFF"/>
            <w:vAlign w:val="top"/>
          </w:tcPr>
          <w:p>
            <w:pPr>
              <w:pStyle w:val="14"/>
              <w:keepNext w:val="0"/>
              <w:keepLines w:val="0"/>
              <w:widowControl w:val="0"/>
              <w:shd w:val="clear" w:color="auto" w:fill="auto"/>
              <w:bidi w:val="0"/>
              <w:spacing w:before="0" w:after="0" w:line="269" w:lineRule="exact"/>
              <w:ind w:left="0" w:right="0" w:firstLine="0"/>
              <w:jc w:val="both"/>
              <w:rPr>
                <w:rFonts w:hint="eastAsia" w:ascii="Times New Roman" w:hAnsi="Times New Roman" w:eastAsia="仿宋" w:cs="Times New Roman"/>
                <w:b w:val="0"/>
                <w:bCs w:val="0"/>
                <w:color w:val="auto"/>
                <w:spacing w:val="0"/>
                <w:w w:val="100"/>
                <w:position w:val="0"/>
                <w:sz w:val="24"/>
                <w:szCs w:val="24"/>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96" w:hRule="exact"/>
          <w:jc w:val="center"/>
        </w:trPr>
        <w:tc>
          <w:tcPr>
            <w:tcW w:w="488" w:type="dxa"/>
            <w:shd w:val="clear" w:color="auto" w:fill="FFFFFF"/>
            <w:vAlign w:val="center"/>
          </w:tcPr>
          <w:p>
            <w:pPr>
              <w:pStyle w:val="14"/>
              <w:keepNext w:val="0"/>
              <w:keepLines w:val="0"/>
              <w:widowControl w:val="0"/>
              <w:shd w:val="clear" w:color="auto" w:fill="auto"/>
              <w:bidi w:val="0"/>
              <w:spacing w:before="0" w:after="0" w:line="269" w:lineRule="exact"/>
              <w:ind w:left="0" w:right="0" w:firstLine="0"/>
              <w:jc w:val="center"/>
              <w:rPr>
                <w:rFonts w:hint="eastAsia" w:ascii="Times New Roman" w:hAnsi="Times New Roman" w:eastAsia="仿宋" w:cs="Times New Roman"/>
                <w:b w:val="0"/>
                <w:bCs w:val="0"/>
                <w:color w:val="auto"/>
                <w:spacing w:val="0"/>
                <w:w w:val="100"/>
                <w:position w:val="0"/>
                <w:sz w:val="24"/>
                <w:szCs w:val="24"/>
                <w:highlight w:val="none"/>
                <w:lang w:val="en-US" w:eastAsia="en-US"/>
              </w:rPr>
            </w:pPr>
            <w:r>
              <w:rPr>
                <w:rFonts w:hint="eastAsia" w:ascii="Times New Roman" w:hAnsi="Times New Roman" w:eastAsia="仿宋" w:cs="Times New Roman"/>
                <w:b w:val="0"/>
                <w:bCs w:val="0"/>
                <w:color w:val="auto"/>
                <w:spacing w:val="0"/>
                <w:w w:val="100"/>
                <w:position w:val="0"/>
                <w:sz w:val="24"/>
                <w:szCs w:val="24"/>
                <w:highlight w:val="none"/>
                <w:lang w:val="en-US" w:eastAsia="en-US"/>
              </w:rPr>
              <w:t>2</w:t>
            </w:r>
          </w:p>
        </w:tc>
        <w:tc>
          <w:tcPr>
            <w:tcW w:w="730" w:type="dxa"/>
            <w:shd w:val="clear" w:color="auto" w:fill="FFFFFF"/>
            <w:vAlign w:val="center"/>
          </w:tcPr>
          <w:p>
            <w:pPr>
              <w:pStyle w:val="14"/>
              <w:keepNext w:val="0"/>
              <w:keepLines w:val="0"/>
              <w:widowControl w:val="0"/>
              <w:shd w:val="clear" w:color="auto" w:fill="auto"/>
              <w:bidi w:val="0"/>
              <w:spacing w:before="0" w:after="0" w:line="269" w:lineRule="exact"/>
              <w:ind w:left="0" w:right="0" w:firstLine="0"/>
              <w:jc w:val="center"/>
              <w:rPr>
                <w:rFonts w:hint="eastAsia" w:ascii="Times New Roman" w:hAnsi="Times New Roman" w:eastAsia="仿宋" w:cs="Times New Roman"/>
                <w:b w:val="0"/>
                <w:bCs w:val="0"/>
                <w:color w:val="auto"/>
                <w:spacing w:val="0"/>
                <w:w w:val="100"/>
                <w:position w:val="0"/>
                <w:sz w:val="24"/>
                <w:szCs w:val="24"/>
                <w:highlight w:val="none"/>
                <w:lang w:val="en-US" w:eastAsia="en-US"/>
              </w:rPr>
            </w:pPr>
            <w:r>
              <w:rPr>
                <w:rFonts w:hint="eastAsia" w:ascii="Times New Roman" w:hAnsi="Times New Roman" w:eastAsia="仿宋" w:cs="Times New Roman"/>
                <w:b w:val="0"/>
                <w:bCs w:val="0"/>
                <w:color w:val="auto"/>
                <w:spacing w:val="0"/>
                <w:w w:val="100"/>
                <w:position w:val="0"/>
                <w:sz w:val="24"/>
                <w:szCs w:val="24"/>
                <w:highlight w:val="none"/>
                <w:lang w:val="en-US" w:eastAsia="en-US"/>
              </w:rPr>
              <w:t>信访维稳</w:t>
            </w:r>
          </w:p>
        </w:tc>
        <w:tc>
          <w:tcPr>
            <w:tcW w:w="1012" w:type="dxa"/>
            <w:shd w:val="clear" w:color="auto" w:fill="FFFFFF"/>
            <w:vAlign w:val="center"/>
          </w:tcPr>
          <w:p>
            <w:pPr>
              <w:pStyle w:val="14"/>
              <w:keepNext w:val="0"/>
              <w:keepLines w:val="0"/>
              <w:widowControl w:val="0"/>
              <w:shd w:val="clear" w:color="auto" w:fill="auto"/>
              <w:bidi w:val="0"/>
              <w:spacing w:before="0" w:after="0" w:line="269" w:lineRule="exact"/>
              <w:ind w:left="0" w:right="0" w:firstLine="0"/>
              <w:jc w:val="center"/>
              <w:rPr>
                <w:rFonts w:hint="eastAsia" w:ascii="Times New Roman" w:hAnsi="Times New Roman" w:eastAsia="仿宋" w:cs="Times New Roman"/>
                <w:b w:val="0"/>
                <w:bCs w:val="0"/>
                <w:color w:val="auto"/>
                <w:spacing w:val="0"/>
                <w:w w:val="100"/>
                <w:position w:val="0"/>
                <w:sz w:val="24"/>
                <w:szCs w:val="24"/>
                <w:highlight w:val="none"/>
                <w:lang w:val="en-US" w:eastAsia="en-US"/>
              </w:rPr>
            </w:pPr>
            <w:r>
              <w:rPr>
                <w:rFonts w:hint="eastAsia" w:ascii="Times New Roman" w:hAnsi="Times New Roman" w:eastAsia="仿宋" w:cs="Times New Roman"/>
                <w:b w:val="0"/>
                <w:bCs w:val="0"/>
                <w:color w:val="auto"/>
                <w:spacing w:val="0"/>
                <w:w w:val="100"/>
                <w:position w:val="0"/>
                <w:sz w:val="24"/>
                <w:szCs w:val="24"/>
                <w:highlight w:val="none"/>
                <w:lang w:val="en-US" w:eastAsia="en-US"/>
              </w:rPr>
              <w:t>5</w:t>
            </w:r>
          </w:p>
        </w:tc>
        <w:tc>
          <w:tcPr>
            <w:tcW w:w="845" w:type="dxa"/>
            <w:shd w:val="clear" w:color="auto" w:fill="FFFFFF"/>
            <w:vAlign w:val="top"/>
          </w:tcPr>
          <w:p>
            <w:pPr>
              <w:pStyle w:val="14"/>
              <w:keepNext w:val="0"/>
              <w:keepLines w:val="0"/>
              <w:widowControl w:val="0"/>
              <w:shd w:val="clear" w:color="auto" w:fill="auto"/>
              <w:bidi w:val="0"/>
              <w:spacing w:before="0" w:after="0" w:line="269" w:lineRule="exact"/>
              <w:ind w:left="0" w:right="0" w:firstLine="0"/>
              <w:jc w:val="both"/>
              <w:rPr>
                <w:rFonts w:hint="eastAsia" w:ascii="Times New Roman" w:hAnsi="Times New Roman" w:eastAsia="仿宋" w:cs="Times New Roman"/>
                <w:b w:val="0"/>
                <w:bCs w:val="0"/>
                <w:color w:val="auto"/>
                <w:spacing w:val="0"/>
                <w:w w:val="100"/>
                <w:position w:val="0"/>
                <w:sz w:val="24"/>
                <w:szCs w:val="24"/>
                <w:highlight w:val="none"/>
                <w:lang w:val="en-US" w:eastAsia="en-US"/>
              </w:rPr>
            </w:pPr>
          </w:p>
        </w:tc>
        <w:tc>
          <w:tcPr>
            <w:tcW w:w="5145" w:type="dxa"/>
            <w:shd w:val="clear" w:color="auto" w:fill="FFFFFF"/>
            <w:vAlign w:val="top"/>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eastAsia" w:ascii="Times New Roman" w:hAnsi="Times New Roman" w:eastAsia="仿宋" w:cs="Times New Roman"/>
                <w:b w:val="0"/>
                <w:bCs w:val="0"/>
                <w:color w:val="auto"/>
                <w:spacing w:val="0"/>
                <w:w w:val="100"/>
                <w:position w:val="0"/>
                <w:sz w:val="24"/>
                <w:szCs w:val="24"/>
                <w:highlight w:val="none"/>
                <w:lang w:val="en-US" w:eastAsia="en-US"/>
              </w:rPr>
            </w:pPr>
            <w:r>
              <w:rPr>
                <w:rFonts w:hint="eastAsia" w:ascii="Times New Roman" w:hAnsi="Times New Roman" w:eastAsia="仿宋" w:cs="Times New Roman"/>
                <w:b w:val="0"/>
                <w:bCs w:val="0"/>
                <w:color w:val="auto"/>
                <w:spacing w:val="0"/>
                <w:w w:val="100"/>
                <w:position w:val="0"/>
                <w:sz w:val="24"/>
                <w:szCs w:val="24"/>
                <w:highlight w:val="none"/>
                <w:lang w:val="en-US" w:eastAsia="en-US"/>
              </w:rPr>
              <w:t>建立健全信访接访制度（1分）;无工作机构、人员和制度不得分。制定信访维稳年度工作计划，安排布置、落实、检查到位，有痕迹材料（1分）。无信访维稳年度工作计划，无痕迹材料不得分。年度内未出现信访维稳事件或者能及时化解出现的信访维稳事件得基本分（3分）。企业发生重大信访事件，严重影响企业生产生活秩序或造成社会负面影响的，本条不得分，并按照扣分标准扣分或者下调考核等级。</w:t>
            </w:r>
          </w:p>
        </w:tc>
        <w:tc>
          <w:tcPr>
            <w:tcW w:w="639" w:type="dxa"/>
            <w:shd w:val="clear" w:color="auto" w:fill="FFFFFF"/>
            <w:vAlign w:val="top"/>
          </w:tcPr>
          <w:p>
            <w:pPr>
              <w:pStyle w:val="14"/>
              <w:keepNext w:val="0"/>
              <w:keepLines w:val="0"/>
              <w:widowControl w:val="0"/>
              <w:shd w:val="clear" w:color="auto" w:fill="auto"/>
              <w:bidi w:val="0"/>
              <w:spacing w:before="0" w:after="0" w:line="269" w:lineRule="exact"/>
              <w:ind w:left="0" w:right="0" w:firstLine="0"/>
              <w:jc w:val="both"/>
              <w:rPr>
                <w:rFonts w:hint="eastAsia" w:ascii="Times New Roman" w:hAnsi="Times New Roman" w:eastAsia="仿宋" w:cs="Times New Roman"/>
                <w:b w:val="0"/>
                <w:bCs w:val="0"/>
                <w:color w:val="auto"/>
                <w:spacing w:val="0"/>
                <w:w w:val="100"/>
                <w:position w:val="0"/>
                <w:sz w:val="24"/>
                <w:szCs w:val="24"/>
                <w:highlight w:val="none"/>
                <w:lang w:val="en-US" w:eastAsia="en-US"/>
              </w:rPr>
            </w:pPr>
          </w:p>
        </w:tc>
      </w:tr>
    </w:tbl>
    <w:p>
      <w:pPr>
        <w:keepNext w:val="0"/>
        <w:keepLines w:val="0"/>
        <w:pageBreakBefore w:val="0"/>
        <w:widowControl w:val="0"/>
        <w:numPr>
          <w:ilvl w:val="8"/>
          <w:numId w:val="0"/>
        </w:numPr>
        <w:shd w:val="clear" w:color="auto" w:fill="auto"/>
        <w:kinsoku/>
        <w:wordWrap/>
        <w:overflowPunct/>
        <w:topLinePunct w:val="0"/>
        <w:autoSpaceDE/>
        <w:autoSpaceDN/>
        <w:bidi w:val="0"/>
        <w:adjustRightInd/>
        <w:snapToGrid/>
        <w:spacing w:line="240" w:lineRule="auto"/>
        <w:ind w:right="0" w:rightChars="0" w:firstLine="611" w:firstLineChars="200"/>
        <w:jc w:val="both"/>
        <w:textAlignment w:val="auto"/>
        <w:rPr>
          <w:rFonts w:hint="eastAsia" w:ascii="Times New Roman" w:hAnsi="Times New Roman" w:eastAsia="仿宋" w:cs="Times New Roman"/>
          <w:b/>
          <w:bCs/>
          <w:color w:val="auto"/>
          <w:w w:val="95"/>
          <w:sz w:val="32"/>
          <w:szCs w:val="32"/>
          <w:highlight w:val="none"/>
          <w:lang w:val="en-US" w:eastAsia="zh-CN"/>
        </w:rPr>
      </w:pPr>
      <w:r>
        <w:rPr>
          <w:rFonts w:hint="eastAsia" w:ascii="Times New Roman" w:hAnsi="Times New Roman" w:eastAsia="仿宋" w:cs="Times New Roman"/>
          <w:b/>
          <w:bCs/>
          <w:color w:val="auto"/>
          <w:w w:val="95"/>
          <w:sz w:val="32"/>
          <w:szCs w:val="32"/>
          <w:highlight w:val="none"/>
          <w:lang w:val="en-US" w:eastAsia="zh-CN"/>
        </w:rPr>
        <w:t>4.重大专项指标考核评价细则</w:t>
      </w:r>
    </w:p>
    <w:p>
      <w:pPr>
        <w:keepNext w:val="0"/>
        <w:keepLines w:val="0"/>
        <w:pageBreakBefore w:val="0"/>
        <w:widowControl w:val="0"/>
        <w:numPr>
          <w:ilvl w:val="8"/>
          <w:numId w:val="0"/>
        </w:numPr>
        <w:shd w:val="clear" w:color="auto" w:fill="auto"/>
        <w:kinsoku/>
        <w:wordWrap/>
        <w:overflowPunct/>
        <w:topLinePunct w:val="0"/>
        <w:autoSpaceDE/>
        <w:autoSpaceDN/>
        <w:bidi w:val="0"/>
        <w:adjustRightInd/>
        <w:snapToGrid/>
        <w:spacing w:line="240" w:lineRule="auto"/>
        <w:ind w:right="0" w:rightChars="0" w:firstLine="608" w:firstLineChars="200"/>
        <w:jc w:val="both"/>
        <w:textAlignment w:val="auto"/>
        <w:rPr>
          <w:rFonts w:hint="eastAsia" w:ascii="Times New Roman" w:hAnsi="Times New Roman" w:eastAsia="仿宋" w:cs="Times New Roman"/>
          <w:color w:val="auto"/>
          <w:w w:val="95"/>
          <w:sz w:val="32"/>
          <w:szCs w:val="32"/>
          <w:highlight w:val="none"/>
          <w:lang w:val="en-US" w:eastAsia="zh-CN"/>
        </w:rPr>
      </w:pPr>
      <w:r>
        <w:rPr>
          <w:rFonts w:hint="eastAsia" w:ascii="Times New Roman" w:hAnsi="Times New Roman" w:eastAsia="仿宋" w:cs="Times New Roman"/>
          <w:color w:val="auto"/>
          <w:w w:val="95"/>
          <w:sz w:val="32"/>
          <w:szCs w:val="32"/>
          <w:highlight w:val="none"/>
          <w:lang w:val="en-US" w:eastAsia="zh-CN"/>
        </w:rPr>
        <w:t>根据区工业开发投资（集团）有限公司承担区委、区政府重大项目建设需要考核融资、投资指标，重大专项指标考核评价分值权重按20%确定。</w:t>
      </w:r>
      <w:r>
        <w:rPr>
          <w:rFonts w:hint="eastAsia" w:ascii="Times New Roman" w:hAnsi="Times New Roman" w:eastAsia="仿宋" w:cs="Times New Roman"/>
          <w:color w:val="auto"/>
          <w:w w:val="95"/>
          <w:sz w:val="32"/>
          <w:szCs w:val="32"/>
          <w:highlight w:val="none"/>
          <w:lang w:val="en-US" w:eastAsia="zh-CN"/>
        </w:rPr>
        <w:tab/>
      </w:r>
    </w:p>
    <w:tbl>
      <w:tblPr>
        <w:tblStyle w:val="8"/>
        <w:tblW w:w="8497" w:type="dxa"/>
        <w:jc w:val="center"/>
        <w:tblInd w:w="0" w:type="dxa"/>
        <w:tblLayout w:type="fixed"/>
        <w:tblCellMar>
          <w:top w:w="0" w:type="dxa"/>
          <w:left w:w="10" w:type="dxa"/>
          <w:bottom w:w="0" w:type="dxa"/>
          <w:right w:w="10" w:type="dxa"/>
        </w:tblCellMar>
      </w:tblPr>
      <w:tblGrid>
        <w:gridCol w:w="1042"/>
        <w:gridCol w:w="1181"/>
        <w:gridCol w:w="1181"/>
        <w:gridCol w:w="864"/>
        <w:gridCol w:w="3634"/>
        <w:gridCol w:w="595"/>
      </w:tblGrid>
      <w:tr>
        <w:tblPrEx>
          <w:tblLayout w:type="fixed"/>
          <w:tblCellMar>
            <w:top w:w="0" w:type="dxa"/>
            <w:left w:w="10" w:type="dxa"/>
            <w:bottom w:w="0" w:type="dxa"/>
            <w:right w:w="10" w:type="dxa"/>
          </w:tblCellMar>
        </w:tblPrEx>
        <w:trPr>
          <w:trHeight w:val="638" w:hRule="exact"/>
          <w:jc w:val="center"/>
        </w:trPr>
        <w:tc>
          <w:tcPr>
            <w:tcW w:w="1042"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序号</w:t>
            </w:r>
          </w:p>
        </w:tc>
        <w:tc>
          <w:tcPr>
            <w:tcW w:w="1181"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307" w:lineRule="exact"/>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重大专项指标</w:t>
            </w:r>
          </w:p>
        </w:tc>
        <w:tc>
          <w:tcPr>
            <w:tcW w:w="1181"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83" w:lineRule="exact"/>
              <w:ind w:left="0" w:right="0" w:firstLine="0"/>
              <w:jc w:val="center"/>
              <w:rPr>
                <w:rFonts w:hint="eastAsia" w:ascii="黑体" w:hAnsi="黑体" w:eastAsia="黑体" w:cs="黑体"/>
                <w:color w:val="auto"/>
                <w:spacing w:val="0"/>
                <w:w w:val="100"/>
                <w:position w:val="0"/>
                <w:sz w:val="24"/>
                <w:szCs w:val="24"/>
                <w:highlight w:val="none"/>
              </w:rPr>
            </w:pPr>
            <w:r>
              <w:rPr>
                <w:rFonts w:hint="eastAsia" w:ascii="黑体" w:hAnsi="黑体" w:eastAsia="黑体" w:cs="黑体"/>
                <w:color w:val="auto"/>
                <w:spacing w:val="0"/>
                <w:w w:val="100"/>
                <w:position w:val="0"/>
                <w:sz w:val="24"/>
                <w:szCs w:val="24"/>
                <w:highlight w:val="none"/>
              </w:rPr>
              <w:t>分值</w:t>
            </w:r>
          </w:p>
          <w:p>
            <w:pPr>
              <w:pStyle w:val="14"/>
              <w:keepNext w:val="0"/>
              <w:keepLines w:val="0"/>
              <w:widowControl w:val="0"/>
              <w:shd w:val="clear" w:color="auto" w:fill="auto"/>
              <w:bidi w:val="0"/>
              <w:spacing w:before="0" w:after="0" w:line="283" w:lineRule="exact"/>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（20分）</w:t>
            </w:r>
          </w:p>
        </w:tc>
        <w:tc>
          <w:tcPr>
            <w:tcW w:w="864"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307" w:lineRule="exact"/>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目标值</w:t>
            </w:r>
          </w:p>
        </w:tc>
        <w:tc>
          <w:tcPr>
            <w:tcW w:w="3634"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考核计分标准</w:t>
            </w:r>
          </w:p>
        </w:tc>
        <w:tc>
          <w:tcPr>
            <w:tcW w:w="595" w:type="dxa"/>
            <w:tcBorders>
              <w:top w:val="single" w:color="auto" w:sz="4" w:space="0"/>
              <w:left w:val="single" w:color="auto" w:sz="4" w:space="0"/>
              <w:right w:val="single" w:color="auto" w:sz="4" w:space="0"/>
            </w:tcBorders>
            <w:shd w:val="clear" w:color="auto" w:fill="FFFFFF"/>
            <w:vAlign w:val="bottom"/>
          </w:tcPr>
          <w:p>
            <w:pPr>
              <w:pStyle w:val="14"/>
              <w:keepNext w:val="0"/>
              <w:keepLines w:val="0"/>
              <w:widowControl w:val="0"/>
              <w:shd w:val="clear" w:color="auto" w:fill="auto"/>
              <w:bidi w:val="0"/>
              <w:spacing w:before="0" w:after="0" w:line="298" w:lineRule="exact"/>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计分</w:t>
            </w:r>
          </w:p>
        </w:tc>
      </w:tr>
      <w:tr>
        <w:tblPrEx>
          <w:tblLayout w:type="fixed"/>
          <w:tblCellMar>
            <w:top w:w="0" w:type="dxa"/>
            <w:left w:w="10" w:type="dxa"/>
            <w:bottom w:w="0" w:type="dxa"/>
            <w:right w:w="10" w:type="dxa"/>
          </w:tblCellMar>
        </w:tblPrEx>
        <w:trPr>
          <w:trHeight w:val="1238" w:hRule="exact"/>
          <w:jc w:val="center"/>
        </w:trPr>
        <w:tc>
          <w:tcPr>
            <w:tcW w:w="1042"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color w:val="auto"/>
                <w:sz w:val="24"/>
                <w:szCs w:val="24"/>
                <w:highlight w:val="none"/>
              </w:rPr>
            </w:pPr>
            <w:r>
              <w:rPr>
                <w:rFonts w:ascii="Times New Roman" w:hAnsi="Times New Roman" w:eastAsia="Times New Roman" w:cs="Times New Roman"/>
                <w:color w:val="auto"/>
                <w:spacing w:val="0"/>
                <w:w w:val="100"/>
                <w:position w:val="0"/>
                <w:sz w:val="24"/>
                <w:szCs w:val="24"/>
                <w:highlight w:val="none"/>
              </w:rPr>
              <w:t>1</w:t>
            </w:r>
          </w:p>
        </w:tc>
        <w:tc>
          <w:tcPr>
            <w:tcW w:w="1181"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融资</w:t>
            </w:r>
          </w:p>
        </w:tc>
        <w:tc>
          <w:tcPr>
            <w:tcW w:w="1181"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10</w:t>
            </w:r>
          </w:p>
        </w:tc>
        <w:tc>
          <w:tcPr>
            <w:tcW w:w="864" w:type="dxa"/>
            <w:tcBorders>
              <w:top w:val="single" w:color="auto" w:sz="4" w:space="0"/>
              <w:left w:val="single" w:color="auto" w:sz="4" w:space="0"/>
            </w:tcBorders>
            <w:shd w:val="clear" w:color="auto" w:fill="FFFFFF"/>
            <w:vAlign w:val="top"/>
          </w:tcPr>
          <w:p>
            <w:pPr>
              <w:widowControl w:val="0"/>
              <w:rPr>
                <w:rFonts w:hint="eastAsia" w:ascii="仿宋" w:hAnsi="仿宋" w:eastAsia="仿宋" w:cs="仿宋"/>
                <w:color w:val="auto"/>
                <w:sz w:val="24"/>
                <w:szCs w:val="24"/>
                <w:highlight w:val="none"/>
              </w:rPr>
            </w:pPr>
          </w:p>
        </w:tc>
        <w:tc>
          <w:tcPr>
            <w:tcW w:w="3634"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304" w:lineRule="exact"/>
              <w:ind w:left="0" w:right="0" w:firstLine="0"/>
              <w:jc w:val="both"/>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rPr>
              <w:t>完成目标值，得基本分</w:t>
            </w:r>
            <w:r>
              <w:rPr>
                <w:rFonts w:hint="default" w:ascii="Times New Roman" w:hAnsi="Times New Roman" w:eastAsia="仿宋" w:cs="Times New Roman"/>
                <w:color w:val="auto"/>
                <w:spacing w:val="0"/>
                <w:w w:val="100"/>
                <w:position w:val="0"/>
                <w:sz w:val="24"/>
                <w:szCs w:val="24"/>
                <w:highlight w:val="none"/>
              </w:rPr>
              <w:t>9</w:t>
            </w:r>
            <w:r>
              <w:rPr>
                <w:rFonts w:hint="eastAsia" w:ascii="Times New Roman" w:hAnsi="Times New Roman" w:eastAsia="仿宋" w:cs="Times New Roman"/>
                <w:color w:val="auto"/>
                <w:spacing w:val="0"/>
                <w:w w:val="100"/>
                <w:position w:val="0"/>
                <w:sz w:val="24"/>
                <w:szCs w:val="24"/>
                <w:highlight w:val="none"/>
              </w:rPr>
              <w:t>分；每超过目标值5%</w:t>
            </w:r>
            <w:r>
              <w:rPr>
                <w:rFonts w:hint="eastAsia" w:ascii="Times New Roman" w:hAnsi="Times New Roman" w:eastAsia="仿宋" w:cs="Times New Roman"/>
                <w:color w:val="auto"/>
                <w:spacing w:val="0"/>
                <w:w w:val="100"/>
                <w:position w:val="0"/>
                <w:sz w:val="24"/>
                <w:szCs w:val="24"/>
                <w:highlight w:val="none"/>
                <w:lang w:eastAsia="zh-CN"/>
              </w:rPr>
              <w:t>，</w:t>
            </w:r>
            <w:r>
              <w:rPr>
                <w:rFonts w:hint="eastAsia" w:ascii="Times New Roman" w:hAnsi="Times New Roman" w:eastAsia="仿宋" w:cs="Times New Roman"/>
                <w:color w:val="auto"/>
                <w:spacing w:val="0"/>
                <w:w w:val="100"/>
                <w:position w:val="0"/>
                <w:sz w:val="24"/>
                <w:szCs w:val="24"/>
                <w:highlight w:val="none"/>
              </w:rPr>
              <w:t>加</w:t>
            </w:r>
            <w:r>
              <w:rPr>
                <w:rFonts w:hint="eastAsia" w:ascii="Times New Roman" w:hAnsi="Times New Roman" w:eastAsia="仿宋" w:cs="Times New Roman"/>
                <w:color w:val="auto"/>
                <w:spacing w:val="0"/>
                <w:w w:val="100"/>
                <w:position w:val="0"/>
                <w:sz w:val="24"/>
                <w:szCs w:val="24"/>
                <w:highlight w:val="none"/>
                <w:lang w:val="en-US" w:eastAsia="en-US"/>
              </w:rPr>
              <w:t>0.5</w:t>
            </w:r>
            <w:r>
              <w:rPr>
                <w:rFonts w:hint="eastAsia" w:ascii="Times New Roman" w:hAnsi="Times New Roman" w:eastAsia="仿宋" w:cs="Times New Roman"/>
                <w:color w:val="auto"/>
                <w:spacing w:val="0"/>
                <w:w w:val="100"/>
                <w:position w:val="0"/>
                <w:sz w:val="24"/>
                <w:szCs w:val="24"/>
                <w:highlight w:val="none"/>
              </w:rPr>
              <w:t>分，最多加1分；每低于目标值5%</w:t>
            </w:r>
            <w:r>
              <w:rPr>
                <w:rFonts w:hint="eastAsia" w:ascii="Times New Roman" w:hAnsi="Times New Roman" w:eastAsia="仿宋" w:cs="Times New Roman"/>
                <w:color w:val="auto"/>
                <w:spacing w:val="0"/>
                <w:w w:val="100"/>
                <w:position w:val="0"/>
                <w:sz w:val="24"/>
                <w:szCs w:val="24"/>
                <w:highlight w:val="none"/>
                <w:lang w:eastAsia="zh-CN"/>
              </w:rPr>
              <w:t>，</w:t>
            </w:r>
            <w:r>
              <w:rPr>
                <w:rFonts w:hint="eastAsia" w:ascii="Times New Roman" w:hAnsi="Times New Roman" w:eastAsia="仿宋" w:cs="Times New Roman"/>
                <w:color w:val="auto"/>
                <w:spacing w:val="0"/>
                <w:w w:val="100"/>
                <w:position w:val="0"/>
                <w:sz w:val="24"/>
                <w:szCs w:val="24"/>
                <w:highlight w:val="none"/>
              </w:rPr>
              <w:t>扣基本分</w:t>
            </w:r>
            <w:r>
              <w:rPr>
                <w:rFonts w:hint="eastAsia" w:ascii="Times New Roman" w:hAnsi="Times New Roman" w:eastAsia="仿宋" w:cs="Times New Roman"/>
                <w:color w:val="auto"/>
                <w:spacing w:val="0"/>
                <w:w w:val="100"/>
                <w:position w:val="0"/>
                <w:sz w:val="24"/>
                <w:szCs w:val="24"/>
                <w:highlight w:val="none"/>
                <w:lang w:val="en-US" w:eastAsia="en-US"/>
              </w:rPr>
              <w:t>0.5</w:t>
            </w:r>
            <w:r>
              <w:rPr>
                <w:rFonts w:hint="eastAsia" w:ascii="Times New Roman" w:hAnsi="Times New Roman" w:eastAsia="仿宋" w:cs="Times New Roman"/>
                <w:color w:val="auto"/>
                <w:spacing w:val="0"/>
                <w:w w:val="100"/>
                <w:position w:val="0"/>
                <w:sz w:val="24"/>
                <w:szCs w:val="24"/>
                <w:highlight w:val="none"/>
              </w:rPr>
              <w:t>分，最多扣9分。</w:t>
            </w:r>
          </w:p>
        </w:tc>
        <w:tc>
          <w:tcPr>
            <w:tcW w:w="595"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auto"/>
                <w:sz w:val="24"/>
                <w:szCs w:val="24"/>
                <w:highlight w:val="none"/>
              </w:rPr>
            </w:pPr>
          </w:p>
        </w:tc>
      </w:tr>
      <w:tr>
        <w:tblPrEx>
          <w:tblLayout w:type="fixed"/>
          <w:tblCellMar>
            <w:top w:w="0" w:type="dxa"/>
            <w:left w:w="10" w:type="dxa"/>
            <w:bottom w:w="0" w:type="dxa"/>
            <w:right w:w="10" w:type="dxa"/>
          </w:tblCellMar>
        </w:tblPrEx>
        <w:trPr>
          <w:trHeight w:val="1258" w:hRule="exact"/>
          <w:jc w:val="center"/>
        </w:trPr>
        <w:tc>
          <w:tcPr>
            <w:tcW w:w="1042"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color w:val="auto"/>
                <w:sz w:val="24"/>
                <w:szCs w:val="24"/>
                <w:highlight w:val="none"/>
              </w:rPr>
            </w:pPr>
            <w:r>
              <w:rPr>
                <w:rFonts w:ascii="Times New Roman" w:hAnsi="Times New Roman" w:eastAsia="Times New Roman" w:cs="Times New Roman"/>
                <w:color w:val="auto"/>
                <w:spacing w:val="0"/>
                <w:w w:val="100"/>
                <w:position w:val="0"/>
                <w:sz w:val="24"/>
                <w:szCs w:val="24"/>
                <w:highlight w:val="none"/>
              </w:rPr>
              <w:t>2</w:t>
            </w:r>
          </w:p>
        </w:tc>
        <w:tc>
          <w:tcPr>
            <w:tcW w:w="1181"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投资</w:t>
            </w:r>
          </w:p>
        </w:tc>
        <w:tc>
          <w:tcPr>
            <w:tcW w:w="1181"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10</w:t>
            </w:r>
          </w:p>
        </w:tc>
        <w:tc>
          <w:tcPr>
            <w:tcW w:w="864" w:type="dxa"/>
            <w:tcBorders>
              <w:top w:val="single" w:color="auto" w:sz="4" w:space="0"/>
              <w:left w:val="single" w:color="auto" w:sz="4" w:space="0"/>
              <w:bottom w:val="single" w:color="auto" w:sz="4" w:space="0"/>
            </w:tcBorders>
            <w:shd w:val="clear" w:color="auto" w:fill="FFFFFF"/>
            <w:vAlign w:val="top"/>
          </w:tcPr>
          <w:p>
            <w:pPr>
              <w:widowControl w:val="0"/>
              <w:rPr>
                <w:rFonts w:hint="eastAsia" w:ascii="仿宋" w:hAnsi="仿宋" w:eastAsia="仿宋" w:cs="仿宋"/>
                <w:color w:val="auto"/>
                <w:sz w:val="24"/>
                <w:szCs w:val="24"/>
                <w:highlight w:val="none"/>
              </w:rPr>
            </w:pPr>
          </w:p>
        </w:tc>
        <w:tc>
          <w:tcPr>
            <w:tcW w:w="3634" w:type="dxa"/>
            <w:tcBorders>
              <w:top w:val="single" w:color="auto" w:sz="4" w:space="0"/>
              <w:left w:val="single" w:color="auto" w:sz="4" w:space="0"/>
              <w:bottom w:val="single" w:color="auto" w:sz="4" w:space="0"/>
            </w:tcBorders>
            <w:shd w:val="clear" w:color="auto" w:fill="FFFFFF"/>
            <w:vAlign w:val="top"/>
          </w:tcPr>
          <w:p>
            <w:pPr>
              <w:pStyle w:val="14"/>
              <w:keepNext w:val="0"/>
              <w:keepLines w:val="0"/>
              <w:widowControl w:val="0"/>
              <w:shd w:val="clear" w:color="auto" w:fill="auto"/>
              <w:bidi w:val="0"/>
              <w:spacing w:before="0" w:after="0" w:line="304" w:lineRule="exact"/>
              <w:ind w:left="0" w:right="0" w:firstLine="0"/>
              <w:jc w:val="both"/>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rPr>
              <w:t>完成目标值，得基本分9分；每超过目标值5%</w:t>
            </w:r>
            <w:r>
              <w:rPr>
                <w:rFonts w:hint="eastAsia" w:ascii="Times New Roman" w:hAnsi="Times New Roman" w:eastAsia="仿宋" w:cs="Times New Roman"/>
                <w:color w:val="auto"/>
                <w:spacing w:val="0"/>
                <w:w w:val="100"/>
                <w:position w:val="0"/>
                <w:sz w:val="24"/>
                <w:szCs w:val="24"/>
                <w:highlight w:val="none"/>
                <w:lang w:eastAsia="zh-CN"/>
              </w:rPr>
              <w:t>，</w:t>
            </w:r>
            <w:r>
              <w:rPr>
                <w:rFonts w:hint="eastAsia" w:ascii="Times New Roman" w:hAnsi="Times New Roman" w:eastAsia="仿宋" w:cs="Times New Roman"/>
                <w:color w:val="auto"/>
                <w:spacing w:val="0"/>
                <w:w w:val="100"/>
                <w:position w:val="0"/>
                <w:sz w:val="24"/>
                <w:szCs w:val="24"/>
                <w:highlight w:val="none"/>
              </w:rPr>
              <w:t>加</w:t>
            </w:r>
            <w:r>
              <w:rPr>
                <w:rFonts w:hint="eastAsia" w:ascii="Times New Roman" w:hAnsi="Times New Roman" w:eastAsia="仿宋" w:cs="Times New Roman"/>
                <w:color w:val="auto"/>
                <w:spacing w:val="0"/>
                <w:w w:val="100"/>
                <w:position w:val="0"/>
                <w:sz w:val="24"/>
                <w:szCs w:val="24"/>
                <w:highlight w:val="none"/>
                <w:lang w:val="en-US" w:eastAsia="en-US"/>
              </w:rPr>
              <w:t>0.5</w:t>
            </w:r>
            <w:r>
              <w:rPr>
                <w:rFonts w:hint="eastAsia" w:ascii="Times New Roman" w:hAnsi="Times New Roman" w:eastAsia="仿宋" w:cs="Times New Roman"/>
                <w:color w:val="auto"/>
                <w:spacing w:val="0"/>
                <w:w w:val="100"/>
                <w:position w:val="0"/>
                <w:sz w:val="24"/>
                <w:szCs w:val="24"/>
                <w:highlight w:val="none"/>
              </w:rPr>
              <w:t>分，最多加1分；每低于目标值5%</w:t>
            </w:r>
            <w:r>
              <w:rPr>
                <w:rFonts w:hint="eastAsia" w:ascii="Times New Roman" w:hAnsi="Times New Roman" w:eastAsia="仿宋" w:cs="Times New Roman"/>
                <w:color w:val="auto"/>
                <w:spacing w:val="0"/>
                <w:w w:val="100"/>
                <w:position w:val="0"/>
                <w:sz w:val="24"/>
                <w:szCs w:val="24"/>
                <w:highlight w:val="none"/>
                <w:lang w:eastAsia="zh-CN"/>
              </w:rPr>
              <w:t>，</w:t>
            </w:r>
            <w:r>
              <w:rPr>
                <w:rFonts w:hint="eastAsia" w:ascii="Times New Roman" w:hAnsi="Times New Roman" w:eastAsia="仿宋" w:cs="Times New Roman"/>
                <w:color w:val="auto"/>
                <w:spacing w:val="0"/>
                <w:w w:val="100"/>
                <w:position w:val="0"/>
                <w:sz w:val="24"/>
                <w:szCs w:val="24"/>
                <w:highlight w:val="none"/>
              </w:rPr>
              <w:t>扣基本分</w:t>
            </w:r>
            <w:r>
              <w:rPr>
                <w:rFonts w:hint="eastAsia" w:ascii="Times New Roman" w:hAnsi="Times New Roman" w:eastAsia="仿宋" w:cs="Times New Roman"/>
                <w:color w:val="auto"/>
                <w:spacing w:val="0"/>
                <w:w w:val="100"/>
                <w:position w:val="0"/>
                <w:sz w:val="24"/>
                <w:szCs w:val="24"/>
                <w:highlight w:val="none"/>
                <w:lang w:val="en-US" w:eastAsia="en-US"/>
              </w:rPr>
              <w:t>0.5</w:t>
            </w:r>
            <w:r>
              <w:rPr>
                <w:rFonts w:hint="eastAsia" w:ascii="Times New Roman" w:hAnsi="Times New Roman" w:eastAsia="仿宋" w:cs="Times New Roman"/>
                <w:color w:val="auto"/>
                <w:spacing w:val="0"/>
                <w:w w:val="100"/>
                <w:position w:val="0"/>
                <w:sz w:val="24"/>
                <w:szCs w:val="24"/>
                <w:highlight w:val="none"/>
              </w:rPr>
              <w:t>分，最多扣9分。</w:t>
            </w:r>
          </w:p>
        </w:tc>
        <w:tc>
          <w:tcPr>
            <w:tcW w:w="595"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仿宋" w:hAnsi="仿宋" w:eastAsia="仿宋" w:cs="仿宋"/>
                <w:color w:val="auto"/>
                <w:sz w:val="24"/>
                <w:szCs w:val="24"/>
                <w:highlight w:val="none"/>
              </w:rPr>
            </w:pPr>
          </w:p>
        </w:tc>
      </w:tr>
    </w:tbl>
    <w:p>
      <w:pPr>
        <w:keepNext w:val="0"/>
        <w:keepLines w:val="0"/>
        <w:pageBreakBefore w:val="0"/>
        <w:widowControl w:val="0"/>
        <w:numPr>
          <w:ilvl w:val="8"/>
          <w:numId w:val="0"/>
        </w:numPr>
        <w:shd w:val="clear" w:color="auto" w:fill="auto"/>
        <w:kinsoku/>
        <w:wordWrap/>
        <w:overflowPunct/>
        <w:topLinePunct w:val="0"/>
        <w:autoSpaceDE/>
        <w:autoSpaceDN/>
        <w:bidi w:val="0"/>
        <w:adjustRightInd/>
        <w:snapToGrid/>
        <w:spacing w:line="240" w:lineRule="auto"/>
        <w:ind w:right="0" w:rightChars="0" w:firstLine="608" w:firstLineChars="200"/>
        <w:jc w:val="both"/>
        <w:textAlignment w:val="auto"/>
        <w:rPr>
          <w:rFonts w:hint="eastAsia" w:ascii="楷体" w:hAnsi="楷体" w:eastAsia="楷体" w:cs="楷体"/>
          <w:color w:val="auto"/>
          <w:w w:val="95"/>
          <w:sz w:val="32"/>
          <w:szCs w:val="32"/>
          <w:highlight w:val="none"/>
          <w:lang w:val="en-US" w:eastAsia="zh-CN"/>
        </w:rPr>
      </w:pPr>
      <w:r>
        <w:rPr>
          <w:rFonts w:hint="eastAsia" w:ascii="楷体" w:hAnsi="楷体" w:eastAsia="楷体" w:cs="楷体"/>
          <w:color w:val="auto"/>
          <w:w w:val="95"/>
          <w:sz w:val="32"/>
          <w:szCs w:val="32"/>
          <w:highlight w:val="none"/>
          <w:lang w:val="en-US" w:eastAsia="zh-CN"/>
        </w:rPr>
        <w:t>（三）考核分级与结果运用</w:t>
      </w:r>
    </w:p>
    <w:p>
      <w:pPr>
        <w:keepNext w:val="0"/>
        <w:keepLines w:val="0"/>
        <w:pageBreakBefore w:val="0"/>
        <w:widowControl w:val="0"/>
        <w:numPr>
          <w:ilvl w:val="8"/>
          <w:numId w:val="0"/>
        </w:numPr>
        <w:shd w:val="clear" w:color="auto" w:fill="auto"/>
        <w:kinsoku/>
        <w:wordWrap/>
        <w:overflowPunct/>
        <w:topLinePunct w:val="0"/>
        <w:autoSpaceDE/>
        <w:autoSpaceDN/>
        <w:bidi w:val="0"/>
        <w:adjustRightInd/>
        <w:snapToGrid/>
        <w:spacing w:line="240" w:lineRule="auto"/>
        <w:ind w:right="0" w:rightChars="0" w:firstLine="608" w:firstLineChars="200"/>
        <w:jc w:val="both"/>
        <w:textAlignment w:val="auto"/>
        <w:rPr>
          <w:rFonts w:hint="eastAsia" w:ascii="Times New Roman" w:hAnsi="Times New Roman" w:eastAsia="仿宋" w:cs="Times New Roman"/>
          <w:color w:val="auto"/>
          <w:w w:val="95"/>
          <w:sz w:val="32"/>
          <w:szCs w:val="32"/>
          <w:highlight w:val="none"/>
          <w:lang w:val="en-US" w:eastAsia="zh-CN"/>
        </w:rPr>
      </w:pPr>
      <w:r>
        <w:rPr>
          <w:rFonts w:hint="eastAsia" w:ascii="Times New Roman" w:hAnsi="Times New Roman" w:eastAsia="仿宋" w:cs="Times New Roman"/>
          <w:color w:val="auto"/>
          <w:w w:val="95"/>
          <w:sz w:val="32"/>
          <w:szCs w:val="32"/>
          <w:highlight w:val="none"/>
          <w:lang w:val="en-US" w:eastAsia="zh-CN"/>
        </w:rPr>
        <w:t>年度经营业绩考核综合得分与考核分级、对应年度考核评价系数关系为：</w:t>
      </w:r>
    </w:p>
    <w:tbl>
      <w:tblPr>
        <w:tblStyle w:val="8"/>
        <w:tblW w:w="8961" w:type="dxa"/>
        <w:jc w:val="center"/>
        <w:tblInd w:w="0" w:type="dxa"/>
        <w:tblLayout w:type="fixed"/>
        <w:tblCellMar>
          <w:top w:w="0" w:type="dxa"/>
          <w:left w:w="10" w:type="dxa"/>
          <w:bottom w:w="0" w:type="dxa"/>
          <w:right w:w="10" w:type="dxa"/>
        </w:tblCellMar>
      </w:tblPr>
      <w:tblGrid>
        <w:gridCol w:w="1344"/>
        <w:gridCol w:w="1219"/>
        <w:gridCol w:w="4704"/>
        <w:gridCol w:w="1694"/>
      </w:tblGrid>
      <w:tr>
        <w:tblPrEx>
          <w:tblLayout w:type="fixed"/>
          <w:tblCellMar>
            <w:top w:w="0" w:type="dxa"/>
            <w:left w:w="10" w:type="dxa"/>
            <w:bottom w:w="0" w:type="dxa"/>
            <w:right w:w="10" w:type="dxa"/>
          </w:tblCellMar>
        </w:tblPrEx>
        <w:trPr>
          <w:trHeight w:val="638" w:hRule="exact"/>
          <w:jc w:val="center"/>
        </w:trPr>
        <w:tc>
          <w:tcPr>
            <w:tcW w:w="1344" w:type="dxa"/>
            <w:tcBorders>
              <w:top w:val="single" w:color="auto" w:sz="4" w:space="0"/>
              <w:left w:val="single" w:color="auto" w:sz="4" w:space="0"/>
              <w:bottom w:val="single" w:color="auto" w:sz="4" w:space="0"/>
            </w:tcBorders>
            <w:shd w:val="clear" w:color="auto" w:fill="FFFFFF"/>
            <w:vAlign w:val="top"/>
          </w:tcPr>
          <w:p>
            <w:pPr>
              <w:widowControl w:val="0"/>
              <w:rPr>
                <w:color w:val="auto"/>
                <w:sz w:val="24"/>
                <w:szCs w:val="24"/>
                <w:highlight w:val="none"/>
              </w:rPr>
            </w:pPr>
          </w:p>
        </w:tc>
        <w:tc>
          <w:tcPr>
            <w:tcW w:w="1219" w:type="dxa"/>
            <w:tcBorders>
              <w:top w:val="single" w:color="auto" w:sz="4" w:space="0"/>
              <w:left w:val="single" w:color="auto" w:sz="4" w:space="0"/>
              <w:bottom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考核分级</w:t>
            </w:r>
          </w:p>
        </w:tc>
        <w:tc>
          <w:tcPr>
            <w:tcW w:w="4704" w:type="dxa"/>
            <w:tcBorders>
              <w:top w:val="single" w:color="auto" w:sz="4" w:space="0"/>
              <w:left w:val="single" w:color="auto" w:sz="4" w:space="0"/>
              <w:bottom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年度综合考核评价得分</w:t>
            </w:r>
          </w:p>
        </w:tc>
        <w:tc>
          <w:tcPr>
            <w:tcW w:w="1694" w:type="dxa"/>
            <w:tcBorders>
              <w:top w:val="single" w:color="auto" w:sz="4" w:space="0"/>
              <w:left w:val="single" w:color="auto" w:sz="4" w:space="0"/>
              <w:bottom w:val="single" w:color="auto" w:sz="4" w:space="0"/>
              <w:right w:val="single" w:color="auto" w:sz="4" w:space="0"/>
            </w:tcBorders>
            <w:shd w:val="clear" w:color="auto" w:fill="FFFFFF"/>
            <w:vAlign w:val="top"/>
          </w:tcPr>
          <w:p>
            <w:pPr>
              <w:pStyle w:val="14"/>
              <w:keepNext w:val="0"/>
              <w:keepLines w:val="0"/>
              <w:widowControl w:val="0"/>
              <w:shd w:val="clear" w:color="auto" w:fill="auto"/>
              <w:bidi w:val="0"/>
              <w:spacing w:before="0" w:after="0" w:line="312" w:lineRule="exact"/>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对应年度综合考核评价系数</w:t>
            </w:r>
          </w:p>
        </w:tc>
      </w:tr>
      <w:tr>
        <w:tblPrEx>
          <w:tblLayout w:type="fixed"/>
          <w:tblCellMar>
            <w:top w:w="0" w:type="dxa"/>
            <w:left w:w="10" w:type="dxa"/>
            <w:bottom w:w="0" w:type="dxa"/>
            <w:right w:w="10" w:type="dxa"/>
          </w:tblCellMar>
        </w:tblPrEx>
        <w:trPr>
          <w:trHeight w:val="1709" w:hRule="exact"/>
          <w:jc w:val="center"/>
        </w:trPr>
        <w:tc>
          <w:tcPr>
            <w:tcW w:w="134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443" w:lineRule="exact"/>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年度综合考核评级及评价系数确定</w:t>
            </w:r>
          </w:p>
        </w:tc>
        <w:tc>
          <w:tcPr>
            <w:tcW w:w="121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highlight w:val="none"/>
              </w:rPr>
            </w:pPr>
            <w:r>
              <w:rPr>
                <w:rFonts w:hint="default" w:ascii="Times New Roman" w:hAnsi="Times New Roman" w:eastAsia="仿宋" w:cs="Times New Roman"/>
                <w:color w:val="auto"/>
                <w:spacing w:val="0"/>
                <w:w w:val="100"/>
                <w:position w:val="0"/>
                <w:sz w:val="24"/>
                <w:szCs w:val="24"/>
                <w:highlight w:val="none"/>
                <w:lang w:val="en-US" w:eastAsia="en-US" w:bidi="en-US"/>
              </w:rPr>
              <w:t>A</w:t>
            </w:r>
            <w:r>
              <w:rPr>
                <w:rFonts w:hint="eastAsia" w:ascii="仿宋" w:hAnsi="仿宋" w:eastAsia="仿宋" w:cs="仿宋"/>
                <w:color w:val="auto"/>
                <w:spacing w:val="0"/>
                <w:w w:val="100"/>
                <w:position w:val="0"/>
                <w:sz w:val="24"/>
                <w:szCs w:val="24"/>
                <w:highlight w:val="none"/>
              </w:rPr>
              <w:t>级</w:t>
            </w:r>
          </w:p>
        </w:tc>
        <w:tc>
          <w:tcPr>
            <w:tcW w:w="470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350" w:lineRule="exact"/>
              <w:ind w:left="0" w:right="0" w:firstLine="0"/>
              <w:jc w:val="both"/>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lang w:val="en-US" w:eastAsia="zh-CN"/>
              </w:rPr>
              <w:t>Z</w:t>
            </w:r>
            <w:r>
              <w:rPr>
                <w:rFonts w:hint="default" w:ascii="Arial" w:hAnsi="Arial" w:eastAsia="仿宋" w:cs="Arial"/>
                <w:color w:val="auto"/>
                <w:spacing w:val="0"/>
                <w:w w:val="100"/>
                <w:position w:val="0"/>
                <w:sz w:val="24"/>
                <w:szCs w:val="24"/>
                <w:highlight w:val="none"/>
                <w:lang w:val="en-US" w:eastAsia="zh-CN"/>
              </w:rPr>
              <w:t>≥</w:t>
            </w:r>
            <w:r>
              <w:rPr>
                <w:rFonts w:hint="default" w:ascii="Times New Roman" w:hAnsi="Times New Roman" w:eastAsia="仿宋" w:cs="Times New Roman"/>
                <w:color w:val="auto"/>
                <w:spacing w:val="0"/>
                <w:w w:val="100"/>
                <w:position w:val="0"/>
                <w:sz w:val="24"/>
                <w:szCs w:val="24"/>
                <w:highlight w:val="none"/>
              </w:rPr>
              <w:t>90</w:t>
            </w:r>
            <w:r>
              <w:rPr>
                <w:rFonts w:hint="eastAsia" w:ascii="Times New Roman" w:hAnsi="Times New Roman" w:eastAsia="仿宋" w:cs="Times New Roman"/>
                <w:color w:val="auto"/>
                <w:spacing w:val="0"/>
                <w:w w:val="100"/>
                <w:position w:val="0"/>
                <w:sz w:val="24"/>
                <w:szCs w:val="24"/>
                <w:highlight w:val="none"/>
              </w:rPr>
              <w:t>分，且经营现金流量为正，年度党委书记抓基层党建述职评议考核综合评价意见或党风廉政建设考核结果为“较好”或“合格”及以上等次</w:t>
            </w:r>
          </w:p>
        </w:tc>
        <w:tc>
          <w:tcPr>
            <w:tcW w:w="169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350" w:lineRule="exact"/>
              <w:ind w:left="0" w:right="0" w:firstLine="0"/>
              <w:jc w:val="center"/>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rPr>
              <w:t>2</w:t>
            </w:r>
          </w:p>
        </w:tc>
      </w:tr>
      <w:tr>
        <w:tblPrEx>
          <w:tblLayout w:type="fixed"/>
          <w:tblCellMar>
            <w:top w:w="0" w:type="dxa"/>
            <w:left w:w="10" w:type="dxa"/>
            <w:bottom w:w="0" w:type="dxa"/>
            <w:right w:w="10" w:type="dxa"/>
          </w:tblCellMar>
        </w:tblPrEx>
        <w:trPr>
          <w:trHeight w:val="1046" w:hRule="exact"/>
          <w:jc w:val="center"/>
        </w:trPr>
        <w:tc>
          <w:tcPr>
            <w:tcW w:w="1344" w:type="dxa"/>
            <w:vMerge w:val="continue"/>
            <w:tcBorders>
              <w:top w:val="single" w:color="auto" w:sz="4" w:space="0"/>
              <w:left w:val="single" w:color="auto" w:sz="4" w:space="0"/>
            </w:tcBorders>
            <w:shd w:val="clear" w:color="auto" w:fill="FFFFFF"/>
            <w:vAlign w:val="center"/>
          </w:tcPr>
          <w:p>
            <w:pPr>
              <w:rPr>
                <w:rFonts w:hint="eastAsia" w:ascii="仿宋" w:hAnsi="仿宋" w:eastAsia="仿宋" w:cs="仿宋"/>
                <w:color w:val="auto"/>
                <w:sz w:val="24"/>
                <w:szCs w:val="24"/>
                <w:highlight w:val="none"/>
              </w:rPr>
            </w:pPr>
          </w:p>
        </w:tc>
        <w:tc>
          <w:tcPr>
            <w:tcW w:w="1219"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 w:cs="Times New Roman"/>
                <w:color w:val="auto"/>
                <w:spacing w:val="0"/>
                <w:w w:val="100"/>
                <w:position w:val="0"/>
                <w:sz w:val="24"/>
                <w:szCs w:val="24"/>
                <w:highlight w:val="none"/>
                <w:lang w:val="en-US" w:eastAsia="en-US" w:bidi="en-US"/>
              </w:rPr>
            </w:pPr>
            <w:r>
              <w:rPr>
                <w:rFonts w:hint="eastAsia" w:ascii="Times New Roman" w:hAnsi="Times New Roman" w:eastAsia="仿宋" w:cs="Times New Roman"/>
                <w:color w:val="auto"/>
                <w:spacing w:val="0"/>
                <w:w w:val="100"/>
                <w:position w:val="0"/>
                <w:sz w:val="24"/>
                <w:szCs w:val="24"/>
                <w:highlight w:val="none"/>
                <w:lang w:val="en-US" w:eastAsia="en-US" w:bidi="en-US"/>
              </w:rPr>
              <w:t>B级</w:t>
            </w:r>
          </w:p>
        </w:tc>
        <w:tc>
          <w:tcPr>
            <w:tcW w:w="4704"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350" w:lineRule="exact"/>
              <w:ind w:left="0" w:right="0" w:firstLine="0"/>
              <w:jc w:val="both"/>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rPr>
              <w:t>80分</w:t>
            </w:r>
            <w:r>
              <w:rPr>
                <w:rFonts w:hint="default" w:ascii="Arial" w:hAnsi="Arial" w:eastAsia="仿宋" w:cs="Arial"/>
                <w:color w:val="auto"/>
                <w:spacing w:val="0"/>
                <w:w w:val="100"/>
                <w:position w:val="0"/>
                <w:sz w:val="24"/>
                <w:szCs w:val="24"/>
                <w:highlight w:val="none"/>
                <w:lang w:val="en-US" w:eastAsia="en-US"/>
              </w:rPr>
              <w:t>≤</w:t>
            </w:r>
            <w:r>
              <w:rPr>
                <w:rFonts w:hint="eastAsia" w:ascii="Times New Roman" w:hAnsi="Times New Roman" w:eastAsia="仿宋" w:cs="Times New Roman"/>
                <w:color w:val="auto"/>
                <w:spacing w:val="0"/>
                <w:w w:val="100"/>
                <w:position w:val="0"/>
                <w:sz w:val="24"/>
                <w:szCs w:val="24"/>
                <w:highlight w:val="none"/>
                <w:lang w:val="en-US" w:eastAsia="en-US"/>
              </w:rPr>
              <w:t>Z</w:t>
            </w:r>
            <w:r>
              <w:rPr>
                <w:rFonts w:hint="eastAsia" w:ascii="Times New Roman" w:hAnsi="Times New Roman" w:eastAsia="仿宋" w:cs="Times New Roman"/>
                <w:color w:val="auto"/>
                <w:spacing w:val="0"/>
                <w:w w:val="100"/>
                <w:position w:val="0"/>
                <w:sz w:val="24"/>
                <w:szCs w:val="24"/>
                <w:highlight w:val="none"/>
                <w:lang w:val="en-US" w:eastAsia="zh-CN"/>
              </w:rPr>
              <w:t>&lt;</w:t>
            </w:r>
            <w:r>
              <w:rPr>
                <w:rFonts w:hint="eastAsia" w:ascii="Times New Roman" w:hAnsi="Times New Roman" w:eastAsia="仿宋" w:cs="Times New Roman"/>
                <w:color w:val="auto"/>
                <w:spacing w:val="0"/>
                <w:w w:val="100"/>
                <w:position w:val="0"/>
                <w:sz w:val="24"/>
                <w:szCs w:val="24"/>
                <w:highlight w:val="none"/>
                <w:lang w:val="en-US" w:eastAsia="en-US"/>
              </w:rPr>
              <w:t>90</w:t>
            </w:r>
            <w:r>
              <w:rPr>
                <w:rFonts w:hint="eastAsia" w:ascii="Times New Roman" w:hAnsi="Times New Roman" w:eastAsia="仿宋" w:cs="Times New Roman"/>
                <w:color w:val="auto"/>
                <w:spacing w:val="0"/>
                <w:w w:val="100"/>
                <w:position w:val="0"/>
                <w:sz w:val="24"/>
                <w:szCs w:val="24"/>
                <w:highlight w:val="none"/>
              </w:rPr>
              <w:t>分，年度党委书记抓基层党建述职评议考核综合评价意见或党风廉政建设考核结果为“较好”或“合格，汲以上等次</w:t>
            </w:r>
          </w:p>
        </w:tc>
        <w:tc>
          <w:tcPr>
            <w:tcW w:w="1694" w:type="dxa"/>
            <w:vMerge w:val="restart"/>
            <w:tcBorders>
              <w:top w:val="single" w:color="auto" w:sz="4" w:space="0"/>
              <w:left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350" w:lineRule="exact"/>
              <w:ind w:left="0" w:right="0" w:firstLine="0"/>
              <w:jc w:val="both"/>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rPr>
              <w:t>年度综合考核评价得分</w:t>
            </w:r>
            <w:r>
              <w:rPr>
                <w:rFonts w:hint="eastAsia" w:ascii="Times New Roman" w:hAnsi="Times New Roman" w:eastAsia="仿宋" w:cs="Times New Roman"/>
                <w:color w:val="auto"/>
                <w:spacing w:val="0"/>
                <w:w w:val="100"/>
                <w:position w:val="0"/>
                <w:sz w:val="24"/>
                <w:szCs w:val="24"/>
                <w:highlight w:val="none"/>
                <w:lang w:val="en-US" w:eastAsia="en-US"/>
              </w:rPr>
              <w:t>/100</w:t>
            </w:r>
            <w:r>
              <w:rPr>
                <w:rFonts w:hint="default" w:ascii="Arial" w:hAnsi="Arial" w:eastAsia="仿宋" w:cs="Arial"/>
                <w:color w:val="auto"/>
                <w:spacing w:val="0"/>
                <w:w w:val="100"/>
                <w:position w:val="0"/>
                <w:sz w:val="24"/>
                <w:szCs w:val="24"/>
                <w:highlight w:val="none"/>
                <w:lang w:val="en-US" w:eastAsia="en-US"/>
              </w:rPr>
              <w:t>×</w:t>
            </w:r>
            <w:r>
              <w:rPr>
                <w:rFonts w:hint="eastAsia" w:ascii="Times New Roman" w:hAnsi="Times New Roman" w:eastAsia="仿宋" w:cs="Times New Roman"/>
                <w:color w:val="auto"/>
                <w:spacing w:val="0"/>
                <w:w w:val="100"/>
                <w:position w:val="0"/>
                <w:sz w:val="24"/>
                <w:szCs w:val="24"/>
                <w:highlight w:val="none"/>
                <w:lang w:val="en-US" w:eastAsia="en-US"/>
              </w:rPr>
              <w:t>2</w:t>
            </w:r>
          </w:p>
        </w:tc>
      </w:tr>
      <w:tr>
        <w:tblPrEx>
          <w:tblLayout w:type="fixed"/>
          <w:tblCellMar>
            <w:top w:w="0" w:type="dxa"/>
            <w:left w:w="10" w:type="dxa"/>
            <w:bottom w:w="0" w:type="dxa"/>
            <w:right w:w="10" w:type="dxa"/>
          </w:tblCellMar>
        </w:tblPrEx>
        <w:trPr>
          <w:trHeight w:val="586" w:hRule="exact"/>
          <w:jc w:val="center"/>
        </w:trPr>
        <w:tc>
          <w:tcPr>
            <w:tcW w:w="1344" w:type="dxa"/>
            <w:vMerge w:val="continue"/>
            <w:tcBorders>
              <w:left w:val="single" w:color="auto" w:sz="4" w:space="0"/>
            </w:tcBorders>
            <w:shd w:val="clear" w:color="auto" w:fill="FFFFFF"/>
            <w:vAlign w:val="center"/>
          </w:tcPr>
          <w:p>
            <w:pPr>
              <w:rPr>
                <w:rFonts w:hint="eastAsia" w:ascii="仿宋" w:hAnsi="仿宋" w:eastAsia="仿宋" w:cs="仿宋"/>
                <w:color w:val="auto"/>
                <w:sz w:val="24"/>
                <w:szCs w:val="24"/>
                <w:highlight w:val="none"/>
              </w:rPr>
            </w:pPr>
          </w:p>
        </w:tc>
        <w:tc>
          <w:tcPr>
            <w:tcW w:w="1219"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 w:cs="Times New Roman"/>
                <w:color w:val="auto"/>
                <w:spacing w:val="0"/>
                <w:w w:val="100"/>
                <w:position w:val="0"/>
                <w:sz w:val="24"/>
                <w:szCs w:val="24"/>
                <w:highlight w:val="none"/>
                <w:lang w:val="en-US" w:eastAsia="en-US" w:bidi="en-US"/>
              </w:rPr>
            </w:pPr>
            <w:r>
              <w:rPr>
                <w:rFonts w:hint="eastAsia" w:ascii="Times New Roman" w:hAnsi="Times New Roman" w:eastAsia="仿宋" w:cs="Times New Roman"/>
                <w:color w:val="auto"/>
                <w:spacing w:val="0"/>
                <w:w w:val="100"/>
                <w:position w:val="0"/>
                <w:sz w:val="24"/>
                <w:szCs w:val="24"/>
                <w:highlight w:val="none"/>
                <w:lang w:val="en-US" w:eastAsia="en-US" w:bidi="en-US"/>
              </w:rPr>
              <w:t>C级</w:t>
            </w:r>
          </w:p>
        </w:tc>
        <w:tc>
          <w:tcPr>
            <w:tcW w:w="4704"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50" w:lineRule="exact"/>
              <w:ind w:left="0" w:right="0" w:firstLine="0"/>
              <w:jc w:val="both"/>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rPr>
              <w:t>70</w:t>
            </w:r>
            <w:r>
              <w:rPr>
                <w:rFonts w:hint="eastAsia" w:ascii="Times New Roman" w:hAnsi="Times New Roman" w:eastAsia="仿宋" w:cs="Times New Roman"/>
                <w:color w:val="auto"/>
                <w:spacing w:val="0"/>
                <w:w w:val="100"/>
                <w:position w:val="0"/>
                <w:sz w:val="24"/>
                <w:szCs w:val="24"/>
                <w:highlight w:val="none"/>
                <w:lang w:eastAsia="zh-CN"/>
              </w:rPr>
              <w:t>分</w:t>
            </w:r>
            <w:r>
              <w:rPr>
                <w:rFonts w:hint="default" w:ascii="Arial" w:hAnsi="Arial" w:eastAsia="仿宋" w:cs="Arial"/>
                <w:color w:val="auto"/>
                <w:spacing w:val="0"/>
                <w:w w:val="100"/>
                <w:position w:val="0"/>
                <w:sz w:val="24"/>
                <w:szCs w:val="24"/>
                <w:highlight w:val="none"/>
                <w:lang w:val="en-US" w:eastAsia="en-US"/>
              </w:rPr>
              <w:t>≤</w:t>
            </w:r>
            <w:r>
              <w:rPr>
                <w:rFonts w:hint="eastAsia" w:ascii="Times New Roman" w:hAnsi="Times New Roman" w:eastAsia="仿宋" w:cs="Times New Roman"/>
                <w:color w:val="auto"/>
                <w:spacing w:val="0"/>
                <w:w w:val="100"/>
                <w:position w:val="0"/>
                <w:sz w:val="24"/>
                <w:szCs w:val="24"/>
                <w:highlight w:val="none"/>
                <w:lang w:val="en-US" w:eastAsia="en-US"/>
              </w:rPr>
              <w:t>Z</w:t>
            </w:r>
            <w:r>
              <w:rPr>
                <w:rFonts w:hint="eastAsia" w:ascii="Times New Roman" w:hAnsi="Times New Roman" w:eastAsia="仿宋" w:cs="Times New Roman"/>
                <w:color w:val="auto"/>
                <w:spacing w:val="0"/>
                <w:w w:val="100"/>
                <w:position w:val="0"/>
                <w:sz w:val="24"/>
                <w:szCs w:val="24"/>
                <w:highlight w:val="none"/>
                <w:lang w:val="en-US" w:eastAsia="zh-CN"/>
              </w:rPr>
              <w:t>&lt;</w:t>
            </w:r>
            <w:r>
              <w:rPr>
                <w:rFonts w:hint="eastAsia" w:ascii="Times New Roman" w:hAnsi="Times New Roman" w:eastAsia="仿宋" w:cs="Times New Roman"/>
                <w:color w:val="auto"/>
                <w:spacing w:val="0"/>
                <w:w w:val="100"/>
                <w:position w:val="0"/>
                <w:sz w:val="24"/>
                <w:szCs w:val="24"/>
                <w:highlight w:val="none"/>
                <w:lang w:val="en-US" w:eastAsia="en-US"/>
              </w:rPr>
              <w:t>80</w:t>
            </w:r>
            <w:r>
              <w:rPr>
                <w:rFonts w:hint="eastAsia" w:ascii="Times New Roman" w:hAnsi="Times New Roman" w:eastAsia="仿宋" w:cs="Times New Roman"/>
                <w:color w:val="auto"/>
                <w:spacing w:val="0"/>
                <w:w w:val="100"/>
                <w:position w:val="0"/>
                <w:sz w:val="24"/>
                <w:szCs w:val="24"/>
                <w:highlight w:val="none"/>
              </w:rPr>
              <w:t>分</w:t>
            </w:r>
          </w:p>
        </w:tc>
        <w:tc>
          <w:tcPr>
            <w:tcW w:w="1694" w:type="dxa"/>
            <w:vMerge w:val="continue"/>
            <w:tcBorders>
              <w:left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350" w:lineRule="exact"/>
              <w:ind w:left="0" w:right="0" w:firstLine="0"/>
              <w:jc w:val="both"/>
              <w:rPr>
                <w:rFonts w:hint="eastAsia" w:ascii="Times New Roman" w:hAnsi="Times New Roman" w:eastAsia="仿宋" w:cs="Times New Roman"/>
                <w:color w:val="auto"/>
                <w:spacing w:val="0"/>
                <w:w w:val="100"/>
                <w:position w:val="0"/>
                <w:sz w:val="24"/>
                <w:szCs w:val="24"/>
                <w:highlight w:val="none"/>
              </w:rPr>
            </w:pPr>
          </w:p>
        </w:tc>
      </w:tr>
      <w:tr>
        <w:tblPrEx>
          <w:tblLayout w:type="fixed"/>
          <w:tblCellMar>
            <w:top w:w="0" w:type="dxa"/>
            <w:left w:w="10" w:type="dxa"/>
            <w:bottom w:w="0" w:type="dxa"/>
            <w:right w:w="10" w:type="dxa"/>
          </w:tblCellMar>
        </w:tblPrEx>
        <w:trPr>
          <w:trHeight w:val="590" w:hRule="exact"/>
          <w:jc w:val="center"/>
        </w:trPr>
        <w:tc>
          <w:tcPr>
            <w:tcW w:w="1344" w:type="dxa"/>
            <w:vMerge w:val="continue"/>
            <w:tcBorders>
              <w:left w:val="single" w:color="auto" w:sz="4" w:space="0"/>
            </w:tcBorders>
            <w:shd w:val="clear" w:color="auto" w:fill="FFFFFF"/>
            <w:vAlign w:val="center"/>
          </w:tcPr>
          <w:p>
            <w:pPr>
              <w:rPr>
                <w:rFonts w:hint="eastAsia" w:ascii="仿宋" w:hAnsi="仿宋" w:eastAsia="仿宋" w:cs="仿宋"/>
                <w:color w:val="auto"/>
                <w:sz w:val="24"/>
                <w:szCs w:val="24"/>
                <w:highlight w:val="none"/>
              </w:rPr>
            </w:pPr>
          </w:p>
        </w:tc>
        <w:tc>
          <w:tcPr>
            <w:tcW w:w="1219"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 w:cs="Times New Roman"/>
                <w:color w:val="auto"/>
                <w:spacing w:val="0"/>
                <w:w w:val="100"/>
                <w:position w:val="0"/>
                <w:sz w:val="24"/>
                <w:szCs w:val="24"/>
                <w:highlight w:val="none"/>
                <w:lang w:val="en-US" w:eastAsia="en-US" w:bidi="en-US"/>
              </w:rPr>
            </w:pPr>
            <w:r>
              <w:rPr>
                <w:rFonts w:hint="eastAsia" w:ascii="Times New Roman" w:hAnsi="Times New Roman" w:eastAsia="仿宋" w:cs="Times New Roman"/>
                <w:color w:val="auto"/>
                <w:spacing w:val="0"/>
                <w:w w:val="100"/>
                <w:position w:val="0"/>
                <w:sz w:val="24"/>
                <w:szCs w:val="24"/>
                <w:highlight w:val="none"/>
                <w:lang w:val="en-US" w:eastAsia="en-US" w:bidi="en-US"/>
              </w:rPr>
              <w:t>D级</w:t>
            </w:r>
          </w:p>
        </w:tc>
        <w:tc>
          <w:tcPr>
            <w:tcW w:w="4704"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50" w:lineRule="exact"/>
              <w:ind w:left="0" w:right="0" w:firstLine="0"/>
              <w:jc w:val="both"/>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rPr>
              <w:t>60分</w:t>
            </w:r>
            <w:r>
              <w:rPr>
                <w:rFonts w:hint="default" w:ascii="Arial" w:hAnsi="Arial" w:eastAsia="仿宋" w:cs="Arial"/>
                <w:color w:val="auto"/>
                <w:spacing w:val="0"/>
                <w:w w:val="100"/>
                <w:position w:val="0"/>
                <w:sz w:val="24"/>
                <w:szCs w:val="24"/>
                <w:highlight w:val="none"/>
                <w:lang w:val="en-US" w:eastAsia="en-US"/>
              </w:rPr>
              <w:t>≤</w:t>
            </w:r>
            <w:r>
              <w:rPr>
                <w:rFonts w:hint="eastAsia" w:ascii="Times New Roman" w:hAnsi="Times New Roman" w:eastAsia="仿宋" w:cs="Times New Roman"/>
                <w:color w:val="auto"/>
                <w:spacing w:val="0"/>
                <w:w w:val="100"/>
                <w:position w:val="0"/>
                <w:sz w:val="24"/>
                <w:szCs w:val="24"/>
                <w:highlight w:val="none"/>
                <w:lang w:val="en-US" w:eastAsia="en-US"/>
              </w:rPr>
              <w:t>Z</w:t>
            </w:r>
            <w:r>
              <w:rPr>
                <w:rFonts w:hint="eastAsia" w:ascii="Times New Roman" w:hAnsi="Times New Roman" w:eastAsia="仿宋" w:cs="Times New Roman"/>
                <w:color w:val="auto"/>
                <w:spacing w:val="0"/>
                <w:w w:val="100"/>
                <w:position w:val="0"/>
                <w:sz w:val="24"/>
                <w:szCs w:val="24"/>
                <w:highlight w:val="none"/>
                <w:lang w:val="en-US" w:eastAsia="zh-CN"/>
              </w:rPr>
              <w:t>&lt;</w:t>
            </w:r>
            <w:r>
              <w:rPr>
                <w:rFonts w:hint="eastAsia" w:ascii="Times New Roman" w:hAnsi="Times New Roman" w:eastAsia="仿宋" w:cs="Times New Roman"/>
                <w:color w:val="auto"/>
                <w:spacing w:val="0"/>
                <w:w w:val="100"/>
                <w:position w:val="0"/>
                <w:sz w:val="24"/>
                <w:szCs w:val="24"/>
                <w:highlight w:val="none"/>
                <w:lang w:val="en-US" w:eastAsia="en-US"/>
              </w:rPr>
              <w:t>70</w:t>
            </w:r>
            <w:r>
              <w:rPr>
                <w:rFonts w:hint="eastAsia" w:ascii="Times New Roman" w:hAnsi="Times New Roman" w:eastAsia="仿宋" w:cs="Times New Roman"/>
                <w:color w:val="auto"/>
                <w:spacing w:val="0"/>
                <w:w w:val="100"/>
                <w:position w:val="0"/>
                <w:sz w:val="24"/>
                <w:szCs w:val="24"/>
                <w:highlight w:val="none"/>
              </w:rPr>
              <w:t>分</w:t>
            </w:r>
          </w:p>
        </w:tc>
        <w:tc>
          <w:tcPr>
            <w:tcW w:w="1694" w:type="dxa"/>
            <w:vMerge w:val="continue"/>
            <w:tcBorders>
              <w:left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350" w:lineRule="exact"/>
              <w:ind w:left="0" w:right="0" w:firstLine="0"/>
              <w:jc w:val="both"/>
              <w:rPr>
                <w:rFonts w:hint="eastAsia" w:ascii="Times New Roman" w:hAnsi="Times New Roman" w:eastAsia="仿宋" w:cs="Times New Roman"/>
                <w:color w:val="auto"/>
                <w:spacing w:val="0"/>
                <w:w w:val="100"/>
                <w:position w:val="0"/>
                <w:sz w:val="24"/>
                <w:szCs w:val="24"/>
                <w:highlight w:val="none"/>
              </w:rPr>
            </w:pPr>
          </w:p>
        </w:tc>
      </w:tr>
      <w:tr>
        <w:tblPrEx>
          <w:tblLayout w:type="fixed"/>
          <w:tblCellMar>
            <w:top w:w="0" w:type="dxa"/>
            <w:left w:w="10" w:type="dxa"/>
            <w:bottom w:w="0" w:type="dxa"/>
            <w:right w:w="10" w:type="dxa"/>
          </w:tblCellMar>
        </w:tblPrEx>
        <w:trPr>
          <w:trHeight w:val="807" w:hRule="exact"/>
          <w:jc w:val="center"/>
        </w:trPr>
        <w:tc>
          <w:tcPr>
            <w:tcW w:w="1344" w:type="dxa"/>
            <w:vMerge w:val="continue"/>
            <w:tcBorders>
              <w:left w:val="single" w:color="auto" w:sz="4" w:space="0"/>
              <w:bottom w:val="single" w:color="auto" w:sz="4" w:space="0"/>
            </w:tcBorders>
            <w:shd w:val="clear" w:color="auto" w:fill="FFFFFF"/>
            <w:vAlign w:val="center"/>
          </w:tcPr>
          <w:p>
            <w:pPr>
              <w:rPr>
                <w:rFonts w:hint="eastAsia" w:ascii="仿宋" w:hAnsi="仿宋" w:eastAsia="仿宋" w:cs="仿宋"/>
                <w:color w:val="auto"/>
                <w:sz w:val="24"/>
                <w:szCs w:val="24"/>
                <w:highlight w:val="none"/>
              </w:rPr>
            </w:pPr>
          </w:p>
        </w:tc>
        <w:tc>
          <w:tcPr>
            <w:tcW w:w="1219" w:type="dxa"/>
            <w:tcBorders>
              <w:top w:val="single" w:color="auto" w:sz="4" w:space="0"/>
              <w:left w:val="single" w:color="auto" w:sz="4" w:space="0"/>
              <w:bottom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 w:cs="Times New Roman"/>
                <w:color w:val="auto"/>
                <w:spacing w:val="0"/>
                <w:w w:val="100"/>
                <w:position w:val="0"/>
                <w:sz w:val="24"/>
                <w:szCs w:val="24"/>
                <w:highlight w:val="none"/>
                <w:lang w:val="en-US" w:eastAsia="en-US" w:bidi="en-US"/>
              </w:rPr>
            </w:pPr>
            <w:r>
              <w:rPr>
                <w:rFonts w:hint="eastAsia" w:ascii="Times New Roman" w:hAnsi="Times New Roman" w:eastAsia="仿宋" w:cs="Times New Roman"/>
                <w:color w:val="auto"/>
                <w:spacing w:val="0"/>
                <w:w w:val="100"/>
                <w:position w:val="0"/>
                <w:sz w:val="24"/>
                <w:szCs w:val="24"/>
                <w:highlight w:val="none"/>
                <w:lang w:val="en-US" w:eastAsia="en-US" w:bidi="en-US"/>
              </w:rPr>
              <w:t>E级</w:t>
            </w:r>
          </w:p>
        </w:tc>
        <w:tc>
          <w:tcPr>
            <w:tcW w:w="4704" w:type="dxa"/>
            <w:tcBorders>
              <w:top w:val="single" w:color="auto" w:sz="4" w:space="0"/>
              <w:left w:val="single" w:color="auto" w:sz="4" w:space="0"/>
              <w:bottom w:val="single" w:color="auto" w:sz="4" w:space="0"/>
            </w:tcBorders>
            <w:shd w:val="clear" w:color="auto" w:fill="FFFFFF"/>
            <w:vAlign w:val="bottom"/>
          </w:tcPr>
          <w:p>
            <w:pPr>
              <w:pStyle w:val="14"/>
              <w:keepNext w:val="0"/>
              <w:keepLines w:val="0"/>
              <w:widowControl w:val="0"/>
              <w:shd w:val="clear" w:color="auto" w:fill="auto"/>
              <w:bidi w:val="0"/>
              <w:spacing w:before="0" w:after="0" w:line="350" w:lineRule="exact"/>
              <w:ind w:left="0" w:right="0" w:firstLine="0"/>
              <w:jc w:val="both"/>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lang w:val="en-US" w:eastAsia="en-US"/>
              </w:rPr>
              <w:t>Z&lt;60</w:t>
            </w:r>
            <w:r>
              <w:rPr>
                <w:rFonts w:hint="eastAsia" w:ascii="Times New Roman" w:hAnsi="Times New Roman" w:eastAsia="仿宋" w:cs="Times New Roman"/>
                <w:color w:val="auto"/>
                <w:spacing w:val="0"/>
                <w:w w:val="100"/>
                <w:position w:val="0"/>
                <w:sz w:val="24"/>
                <w:szCs w:val="24"/>
                <w:highlight w:val="none"/>
              </w:rPr>
              <w:t>分</w:t>
            </w:r>
          </w:p>
        </w:tc>
        <w:tc>
          <w:tcPr>
            <w:tcW w:w="1694" w:type="dxa"/>
            <w:tcBorders>
              <w:top w:val="single" w:color="auto" w:sz="4" w:space="0"/>
              <w:left w:val="single" w:color="auto" w:sz="4" w:space="0"/>
              <w:bottom w:val="single" w:color="auto" w:sz="4" w:space="0"/>
              <w:right w:val="single" w:color="auto" w:sz="4" w:space="0"/>
            </w:tcBorders>
            <w:shd w:val="clear" w:color="auto" w:fill="FFFFFF"/>
            <w:vAlign w:val="top"/>
          </w:tcPr>
          <w:p>
            <w:pPr>
              <w:pStyle w:val="14"/>
              <w:keepNext w:val="0"/>
              <w:keepLines w:val="0"/>
              <w:widowControl w:val="0"/>
              <w:shd w:val="clear" w:color="auto" w:fill="auto"/>
              <w:bidi w:val="0"/>
              <w:spacing w:before="0" w:after="0" w:line="350" w:lineRule="exact"/>
              <w:ind w:left="0" w:right="0" w:firstLine="0"/>
              <w:jc w:val="both"/>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rPr>
              <w:t>在</w:t>
            </w:r>
            <w:r>
              <w:rPr>
                <w:rFonts w:hint="eastAsia" w:ascii="Times New Roman" w:hAnsi="Times New Roman" w:eastAsia="仿宋" w:cs="Times New Roman"/>
                <w:color w:val="auto"/>
                <w:spacing w:val="0"/>
                <w:w w:val="100"/>
                <w:position w:val="0"/>
                <w:sz w:val="24"/>
                <w:szCs w:val="24"/>
                <w:highlight w:val="none"/>
                <w:lang w:val="en-US" w:eastAsia="en-US"/>
              </w:rPr>
              <w:t>0—1</w:t>
            </w:r>
            <w:r>
              <w:rPr>
                <w:rFonts w:hint="eastAsia" w:ascii="Times New Roman" w:hAnsi="Times New Roman" w:eastAsia="仿宋" w:cs="Times New Roman"/>
                <w:color w:val="auto"/>
                <w:spacing w:val="0"/>
                <w:w w:val="100"/>
                <w:position w:val="0"/>
                <w:sz w:val="24"/>
                <w:szCs w:val="24"/>
                <w:highlight w:val="none"/>
              </w:rPr>
              <w:t>之间确定</w:t>
            </w:r>
          </w:p>
        </w:tc>
      </w:tr>
    </w:tbl>
    <w:p>
      <w:pPr>
        <w:keepNext w:val="0"/>
        <w:keepLines w:val="0"/>
        <w:pageBreakBefore w:val="0"/>
        <w:widowControl w:val="0"/>
        <w:numPr>
          <w:ilvl w:val="8"/>
          <w:numId w:val="0"/>
        </w:numPr>
        <w:shd w:val="clear" w:color="auto" w:fill="auto"/>
        <w:kinsoku/>
        <w:wordWrap/>
        <w:overflowPunct/>
        <w:topLinePunct w:val="0"/>
        <w:autoSpaceDE/>
        <w:autoSpaceDN/>
        <w:bidi w:val="0"/>
        <w:adjustRightInd/>
        <w:snapToGrid/>
        <w:spacing w:line="240" w:lineRule="auto"/>
        <w:ind w:right="0" w:rightChars="0" w:firstLine="608" w:firstLineChars="200"/>
        <w:jc w:val="both"/>
        <w:textAlignment w:val="auto"/>
        <w:rPr>
          <w:rFonts w:hint="eastAsia" w:ascii="黑体" w:hAnsi="黑体" w:eastAsia="黑体" w:cs="黑体"/>
          <w:color w:val="auto"/>
          <w:w w:val="95"/>
          <w:sz w:val="32"/>
          <w:szCs w:val="32"/>
          <w:highlight w:val="none"/>
          <w:lang w:val="en-US" w:eastAsia="zh-CN"/>
        </w:rPr>
      </w:pPr>
      <w:r>
        <w:rPr>
          <w:rFonts w:hint="eastAsia" w:ascii="黑体" w:hAnsi="黑体" w:eastAsia="黑体" w:cs="黑体"/>
          <w:color w:val="auto"/>
          <w:w w:val="95"/>
          <w:sz w:val="32"/>
          <w:szCs w:val="32"/>
          <w:highlight w:val="none"/>
          <w:lang w:val="en-US" w:eastAsia="zh-CN"/>
        </w:rPr>
        <w:t>二、任期经营业绩考核计分细则</w:t>
      </w:r>
    </w:p>
    <w:p>
      <w:pPr>
        <w:keepNext w:val="0"/>
        <w:keepLines w:val="0"/>
        <w:pageBreakBefore w:val="0"/>
        <w:widowControl w:val="0"/>
        <w:numPr>
          <w:ilvl w:val="8"/>
          <w:numId w:val="0"/>
        </w:numPr>
        <w:shd w:val="clear" w:color="auto" w:fill="auto"/>
        <w:kinsoku/>
        <w:wordWrap/>
        <w:overflowPunct/>
        <w:topLinePunct w:val="0"/>
        <w:autoSpaceDE/>
        <w:autoSpaceDN/>
        <w:bidi w:val="0"/>
        <w:adjustRightInd/>
        <w:snapToGrid/>
        <w:spacing w:line="240" w:lineRule="auto"/>
        <w:ind w:right="0" w:rightChars="0" w:firstLine="608" w:firstLineChars="200"/>
        <w:jc w:val="both"/>
        <w:textAlignment w:val="auto"/>
        <w:rPr>
          <w:rFonts w:hint="eastAsia" w:ascii="楷体" w:hAnsi="楷体" w:eastAsia="楷体" w:cs="楷体"/>
          <w:color w:val="auto"/>
          <w:w w:val="95"/>
          <w:sz w:val="32"/>
          <w:szCs w:val="32"/>
          <w:highlight w:val="none"/>
          <w:lang w:val="en-US" w:eastAsia="zh-CN"/>
        </w:rPr>
      </w:pPr>
      <w:r>
        <w:rPr>
          <w:rFonts w:hint="eastAsia" w:ascii="楷体" w:hAnsi="楷体" w:eastAsia="楷体" w:cs="楷体"/>
          <w:color w:val="auto"/>
          <w:w w:val="95"/>
          <w:sz w:val="32"/>
          <w:szCs w:val="32"/>
          <w:highlight w:val="none"/>
          <w:lang w:val="en-US" w:eastAsia="zh-CN"/>
        </w:rPr>
        <w:t>（一）任期经营业绩考核的综合计分公式</w:t>
      </w:r>
    </w:p>
    <w:p>
      <w:pPr>
        <w:keepNext w:val="0"/>
        <w:keepLines w:val="0"/>
        <w:pageBreakBefore w:val="0"/>
        <w:widowControl w:val="0"/>
        <w:numPr>
          <w:ilvl w:val="8"/>
          <w:numId w:val="0"/>
        </w:numPr>
        <w:shd w:val="clear" w:color="auto" w:fill="auto"/>
        <w:kinsoku/>
        <w:wordWrap/>
        <w:overflowPunct/>
        <w:topLinePunct w:val="0"/>
        <w:autoSpaceDE/>
        <w:autoSpaceDN/>
        <w:bidi w:val="0"/>
        <w:adjustRightInd/>
        <w:snapToGrid/>
        <w:spacing w:line="240" w:lineRule="auto"/>
        <w:ind w:right="0" w:rightChars="0" w:firstLine="608" w:firstLineChars="200"/>
        <w:jc w:val="both"/>
        <w:textAlignment w:val="auto"/>
        <w:rPr>
          <w:rFonts w:hint="eastAsia" w:ascii="Times New Roman" w:hAnsi="Times New Roman" w:eastAsia="仿宋" w:cs="Times New Roman"/>
          <w:color w:val="auto"/>
          <w:w w:val="95"/>
          <w:sz w:val="32"/>
          <w:szCs w:val="32"/>
          <w:highlight w:val="none"/>
          <w:lang w:val="en-US" w:eastAsia="zh-CN"/>
        </w:rPr>
      </w:pPr>
      <w:r>
        <w:rPr>
          <w:rFonts w:hint="eastAsia" w:ascii="Times New Roman" w:hAnsi="Times New Roman" w:eastAsia="仿宋" w:cs="Times New Roman"/>
          <w:color w:val="auto"/>
          <w:w w:val="95"/>
          <w:sz w:val="32"/>
          <w:szCs w:val="32"/>
          <w:highlight w:val="none"/>
          <w:lang w:val="en-US" w:eastAsia="zh-CN"/>
        </w:rPr>
        <w:t>任期经营业绩考核综合得分（Z）=质量效益指标得分+任期内年度考核结果运用得分</w:t>
      </w:r>
    </w:p>
    <w:p>
      <w:pPr>
        <w:keepNext w:val="0"/>
        <w:keepLines w:val="0"/>
        <w:pageBreakBefore w:val="0"/>
        <w:widowControl w:val="0"/>
        <w:numPr>
          <w:ilvl w:val="8"/>
          <w:numId w:val="0"/>
        </w:numPr>
        <w:shd w:val="clear" w:color="auto" w:fill="auto"/>
        <w:kinsoku/>
        <w:wordWrap/>
        <w:overflowPunct/>
        <w:topLinePunct w:val="0"/>
        <w:autoSpaceDE/>
        <w:autoSpaceDN/>
        <w:bidi w:val="0"/>
        <w:adjustRightInd/>
        <w:snapToGrid/>
        <w:spacing w:line="240" w:lineRule="auto"/>
        <w:ind w:right="0" w:rightChars="0" w:firstLine="608" w:firstLineChars="200"/>
        <w:jc w:val="both"/>
        <w:textAlignment w:val="auto"/>
        <w:rPr>
          <w:rFonts w:hint="eastAsia" w:ascii="楷体" w:hAnsi="楷体" w:eastAsia="楷体" w:cs="楷体"/>
          <w:color w:val="auto"/>
          <w:w w:val="95"/>
          <w:sz w:val="32"/>
          <w:szCs w:val="32"/>
          <w:highlight w:val="none"/>
          <w:lang w:val="en-US" w:eastAsia="zh-CN"/>
        </w:rPr>
      </w:pPr>
      <w:r>
        <w:rPr>
          <w:rFonts w:hint="eastAsia" w:ascii="楷体" w:hAnsi="楷体" w:eastAsia="楷体" w:cs="楷体"/>
          <w:color w:val="auto"/>
          <w:w w:val="95"/>
          <w:sz w:val="32"/>
          <w:szCs w:val="32"/>
          <w:highlight w:val="none"/>
          <w:lang w:val="en-US" w:eastAsia="zh-CN"/>
        </w:rPr>
        <w:t>（二）任期经营业绩考核各指标计分</w:t>
      </w:r>
    </w:p>
    <w:p>
      <w:pPr>
        <w:keepNext w:val="0"/>
        <w:keepLines w:val="0"/>
        <w:pageBreakBefore w:val="0"/>
        <w:widowControl w:val="0"/>
        <w:numPr>
          <w:ilvl w:val="8"/>
          <w:numId w:val="0"/>
        </w:numPr>
        <w:shd w:val="clear" w:color="auto" w:fill="auto"/>
        <w:kinsoku/>
        <w:wordWrap/>
        <w:overflowPunct/>
        <w:topLinePunct w:val="0"/>
        <w:autoSpaceDE/>
        <w:autoSpaceDN/>
        <w:bidi w:val="0"/>
        <w:adjustRightInd/>
        <w:snapToGrid/>
        <w:spacing w:line="240" w:lineRule="auto"/>
        <w:ind w:right="0" w:rightChars="0" w:firstLine="611" w:firstLineChars="200"/>
        <w:jc w:val="both"/>
        <w:textAlignment w:val="auto"/>
        <w:rPr>
          <w:rFonts w:hint="eastAsia" w:ascii="Times New Roman" w:hAnsi="Times New Roman" w:eastAsia="仿宋" w:cs="Times New Roman"/>
          <w:color w:val="auto"/>
          <w:w w:val="95"/>
          <w:sz w:val="32"/>
          <w:szCs w:val="32"/>
          <w:highlight w:val="none"/>
          <w:lang w:val="en-US" w:eastAsia="zh-CN"/>
        </w:rPr>
      </w:pPr>
      <w:r>
        <w:rPr>
          <w:rFonts w:hint="eastAsia" w:ascii="Times New Roman" w:hAnsi="Times New Roman" w:eastAsia="仿宋" w:cs="Times New Roman"/>
          <w:b/>
          <w:bCs/>
          <w:color w:val="auto"/>
          <w:w w:val="95"/>
          <w:sz w:val="32"/>
          <w:szCs w:val="32"/>
          <w:highlight w:val="none"/>
          <w:lang w:val="en-US" w:eastAsia="zh-CN"/>
        </w:rPr>
        <w:t>1.任期质量效益指标。</w:t>
      </w:r>
      <w:r>
        <w:rPr>
          <w:rFonts w:hint="eastAsia" w:ascii="Times New Roman" w:hAnsi="Times New Roman" w:eastAsia="仿宋" w:cs="Times New Roman"/>
          <w:color w:val="auto"/>
          <w:w w:val="95"/>
          <w:sz w:val="32"/>
          <w:szCs w:val="32"/>
          <w:highlight w:val="none"/>
          <w:lang w:val="en-US" w:eastAsia="zh-CN"/>
        </w:rPr>
        <w:t>“一企一策”确定质量效益指标为：国有资本收益、国有资本保值增值率、资产负债率等指标，质量效益指标分值权重（按百分制）占比70%，任期考核各指标具体考核分值由履行出资人职责部门确定。</w:t>
      </w:r>
    </w:p>
    <w:tbl>
      <w:tblPr>
        <w:tblStyle w:val="8"/>
        <w:tblW w:w="8722" w:type="dxa"/>
        <w:jc w:val="center"/>
        <w:tblInd w:w="0" w:type="dxa"/>
        <w:tblLayout w:type="fixed"/>
        <w:tblCellMar>
          <w:top w:w="0" w:type="dxa"/>
          <w:left w:w="10" w:type="dxa"/>
          <w:bottom w:w="0" w:type="dxa"/>
          <w:right w:w="10" w:type="dxa"/>
        </w:tblCellMar>
      </w:tblPr>
      <w:tblGrid>
        <w:gridCol w:w="734"/>
        <w:gridCol w:w="1016"/>
        <w:gridCol w:w="941"/>
        <w:gridCol w:w="790"/>
        <w:gridCol w:w="4598"/>
        <w:gridCol w:w="643"/>
      </w:tblGrid>
      <w:tr>
        <w:tblPrEx>
          <w:tblLayout w:type="fixed"/>
          <w:tblCellMar>
            <w:top w:w="0" w:type="dxa"/>
            <w:left w:w="10" w:type="dxa"/>
            <w:bottom w:w="0" w:type="dxa"/>
            <w:right w:w="10" w:type="dxa"/>
          </w:tblCellMar>
        </w:tblPrEx>
        <w:trPr>
          <w:trHeight w:val="1063" w:hRule="exact"/>
          <w:jc w:val="center"/>
        </w:trPr>
        <w:tc>
          <w:tcPr>
            <w:tcW w:w="734" w:type="dxa"/>
            <w:tcBorders>
              <w:top w:val="single" w:color="auto" w:sz="4" w:space="0"/>
              <w:lef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140"/>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序号</w:t>
            </w:r>
          </w:p>
        </w:tc>
        <w:tc>
          <w:tcPr>
            <w:tcW w:w="1016" w:type="dxa"/>
            <w:tcBorders>
              <w:top w:val="single" w:color="auto" w:sz="4" w:space="0"/>
              <w:lef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质量效益指标</w:t>
            </w:r>
          </w:p>
        </w:tc>
        <w:tc>
          <w:tcPr>
            <w:tcW w:w="941" w:type="dxa"/>
            <w:tcBorders>
              <w:top w:val="single" w:color="auto" w:sz="4" w:space="0"/>
              <w:lef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黑体" w:hAnsi="黑体" w:eastAsia="黑体" w:cs="黑体"/>
                <w:color w:val="auto"/>
                <w:spacing w:val="0"/>
                <w:w w:val="100"/>
                <w:position w:val="0"/>
                <w:sz w:val="24"/>
                <w:szCs w:val="24"/>
                <w:highlight w:val="none"/>
              </w:rPr>
            </w:pPr>
            <w:r>
              <w:rPr>
                <w:rFonts w:hint="eastAsia" w:ascii="黑体" w:hAnsi="黑体" w:eastAsia="黑体" w:cs="黑体"/>
                <w:color w:val="auto"/>
                <w:spacing w:val="0"/>
                <w:w w:val="100"/>
                <w:position w:val="0"/>
                <w:sz w:val="24"/>
                <w:szCs w:val="24"/>
                <w:highlight w:val="none"/>
              </w:rPr>
              <w:t>分值</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（70分）</w:t>
            </w:r>
          </w:p>
        </w:tc>
        <w:tc>
          <w:tcPr>
            <w:tcW w:w="790" w:type="dxa"/>
            <w:tcBorders>
              <w:top w:val="single" w:color="auto" w:sz="4" w:space="0"/>
              <w:lef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目标值</w:t>
            </w:r>
          </w:p>
        </w:tc>
        <w:tc>
          <w:tcPr>
            <w:tcW w:w="4598" w:type="dxa"/>
            <w:tcBorders>
              <w:top w:val="single" w:color="auto" w:sz="4" w:space="0"/>
              <w:lef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考核计分标准</w:t>
            </w:r>
          </w:p>
        </w:tc>
        <w:tc>
          <w:tcPr>
            <w:tcW w:w="643" w:type="dxa"/>
            <w:tcBorders>
              <w:top w:val="single" w:color="auto" w:sz="4" w:space="0"/>
              <w:left w:val="single" w:color="auto" w:sz="4" w:space="0"/>
              <w:righ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计分</w:t>
            </w:r>
          </w:p>
        </w:tc>
      </w:tr>
      <w:tr>
        <w:tblPrEx>
          <w:tblLayout w:type="fixed"/>
          <w:tblCellMar>
            <w:top w:w="0" w:type="dxa"/>
            <w:left w:w="10" w:type="dxa"/>
            <w:bottom w:w="0" w:type="dxa"/>
            <w:right w:w="10" w:type="dxa"/>
          </w:tblCellMar>
        </w:tblPrEx>
        <w:trPr>
          <w:trHeight w:val="1206" w:hRule="exact"/>
          <w:jc w:val="center"/>
        </w:trPr>
        <w:tc>
          <w:tcPr>
            <w:tcW w:w="734" w:type="dxa"/>
            <w:tcBorders>
              <w:top w:val="single" w:color="auto" w:sz="4" w:space="0"/>
              <w:lef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280"/>
              <w:jc w:val="left"/>
              <w:textAlignment w:val="auto"/>
              <w:rPr>
                <w:color w:val="auto"/>
                <w:sz w:val="24"/>
                <w:szCs w:val="24"/>
                <w:highlight w:val="none"/>
              </w:rPr>
            </w:pPr>
            <w:r>
              <w:rPr>
                <w:rFonts w:ascii="Times New Roman" w:hAnsi="Times New Roman" w:eastAsia="Times New Roman" w:cs="Times New Roman"/>
                <w:color w:val="auto"/>
                <w:spacing w:val="0"/>
                <w:w w:val="100"/>
                <w:position w:val="0"/>
                <w:sz w:val="24"/>
                <w:szCs w:val="24"/>
                <w:highlight w:val="none"/>
              </w:rPr>
              <w:t>1</w:t>
            </w:r>
          </w:p>
        </w:tc>
        <w:tc>
          <w:tcPr>
            <w:tcW w:w="1016" w:type="dxa"/>
            <w:tcBorders>
              <w:top w:val="single" w:color="auto" w:sz="4" w:space="0"/>
              <w:lef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国有资本收益</w:t>
            </w:r>
          </w:p>
        </w:tc>
        <w:tc>
          <w:tcPr>
            <w:tcW w:w="941" w:type="dxa"/>
            <w:tcBorders>
              <w:top w:val="single" w:color="auto" w:sz="4" w:space="0"/>
              <w:lef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pacing w:val="0"/>
                <w:w w:val="100"/>
                <w:position w:val="0"/>
                <w:sz w:val="24"/>
                <w:szCs w:val="24"/>
                <w:highlight w:val="none"/>
                <w:lang w:val="en-US" w:eastAsia="zh-CN"/>
              </w:rPr>
              <w:t>10</w:t>
            </w:r>
          </w:p>
        </w:tc>
        <w:tc>
          <w:tcPr>
            <w:tcW w:w="790"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p>
        </w:tc>
        <w:tc>
          <w:tcPr>
            <w:tcW w:w="4598" w:type="dxa"/>
            <w:tcBorders>
              <w:top w:val="single" w:color="auto" w:sz="4" w:space="0"/>
              <w:left w:val="single" w:color="auto" w:sz="4" w:space="0"/>
            </w:tcBorders>
            <w:shd w:val="clear" w:color="auto" w:fill="FFFFFF"/>
            <w:vAlign w:val="bottom"/>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eastAsia" w:ascii="Times New Roman" w:hAnsi="Times New Roman" w:eastAsia="仿宋" w:cs="Times New Roman"/>
                <w:b w:val="0"/>
                <w:bCs w:val="0"/>
                <w:color w:val="auto"/>
                <w:spacing w:val="0"/>
                <w:w w:val="100"/>
                <w:position w:val="0"/>
                <w:sz w:val="24"/>
                <w:szCs w:val="24"/>
                <w:highlight w:val="none"/>
              </w:rPr>
            </w:pPr>
            <w:r>
              <w:rPr>
                <w:rFonts w:hint="eastAsia" w:ascii="Times New Roman" w:hAnsi="Times New Roman" w:eastAsia="仿宋" w:cs="Times New Roman"/>
                <w:b w:val="0"/>
                <w:bCs w:val="0"/>
                <w:color w:val="auto"/>
                <w:spacing w:val="0"/>
                <w:w w:val="100"/>
                <w:position w:val="0"/>
                <w:sz w:val="24"/>
                <w:szCs w:val="24"/>
                <w:highlight w:val="none"/>
              </w:rPr>
              <w:t>完成目标值，得</w:t>
            </w:r>
            <w:r>
              <w:rPr>
                <w:rFonts w:hint="eastAsia" w:ascii="Times New Roman" w:hAnsi="Times New Roman" w:eastAsia="仿宋" w:cs="Times New Roman"/>
                <w:b w:val="0"/>
                <w:bCs w:val="0"/>
                <w:color w:val="auto"/>
                <w:spacing w:val="0"/>
                <w:w w:val="100"/>
                <w:position w:val="0"/>
                <w:sz w:val="24"/>
                <w:szCs w:val="24"/>
                <w:highlight w:val="none"/>
                <w:lang w:eastAsia="zh-CN"/>
              </w:rPr>
              <w:t>基本分</w:t>
            </w:r>
            <w:r>
              <w:rPr>
                <w:rFonts w:hint="eastAsia" w:ascii="Times New Roman" w:hAnsi="Times New Roman" w:eastAsia="仿宋" w:cs="Times New Roman"/>
                <w:b w:val="0"/>
                <w:bCs w:val="0"/>
                <w:color w:val="auto"/>
                <w:spacing w:val="0"/>
                <w:w w:val="100"/>
                <w:position w:val="0"/>
                <w:sz w:val="24"/>
                <w:szCs w:val="24"/>
                <w:highlight w:val="none"/>
                <w:lang w:val="en-US" w:eastAsia="zh-CN"/>
              </w:rPr>
              <w:t>9</w:t>
            </w:r>
            <w:r>
              <w:rPr>
                <w:rFonts w:hint="eastAsia" w:ascii="Times New Roman" w:hAnsi="Times New Roman" w:eastAsia="仿宋" w:cs="Times New Roman"/>
                <w:b w:val="0"/>
                <w:bCs w:val="0"/>
                <w:color w:val="auto"/>
                <w:spacing w:val="0"/>
                <w:w w:val="100"/>
                <w:position w:val="0"/>
                <w:sz w:val="24"/>
                <w:szCs w:val="24"/>
                <w:highlight w:val="none"/>
              </w:rPr>
              <w:t>分；每超过目标值5%</w:t>
            </w:r>
            <w:r>
              <w:rPr>
                <w:rFonts w:hint="eastAsia" w:ascii="Times New Roman" w:hAnsi="Times New Roman" w:eastAsia="仿宋" w:cs="Times New Roman"/>
                <w:b w:val="0"/>
                <w:bCs w:val="0"/>
                <w:color w:val="auto"/>
                <w:spacing w:val="0"/>
                <w:w w:val="100"/>
                <w:position w:val="0"/>
                <w:sz w:val="24"/>
                <w:szCs w:val="24"/>
                <w:highlight w:val="none"/>
                <w:lang w:eastAsia="zh-CN"/>
              </w:rPr>
              <w:t>，</w:t>
            </w:r>
            <w:r>
              <w:rPr>
                <w:rFonts w:hint="eastAsia" w:ascii="Times New Roman" w:hAnsi="Times New Roman" w:eastAsia="仿宋" w:cs="Times New Roman"/>
                <w:b w:val="0"/>
                <w:bCs w:val="0"/>
                <w:color w:val="auto"/>
                <w:spacing w:val="0"/>
                <w:w w:val="100"/>
                <w:position w:val="0"/>
                <w:sz w:val="24"/>
                <w:szCs w:val="24"/>
                <w:highlight w:val="none"/>
              </w:rPr>
              <w:t>加</w:t>
            </w:r>
            <w:r>
              <w:rPr>
                <w:rFonts w:hint="eastAsia" w:ascii="Times New Roman" w:hAnsi="Times New Roman" w:eastAsia="仿宋" w:cs="Times New Roman"/>
                <w:b w:val="0"/>
                <w:bCs w:val="0"/>
                <w:color w:val="auto"/>
                <w:spacing w:val="0"/>
                <w:w w:val="100"/>
                <w:position w:val="0"/>
                <w:sz w:val="24"/>
                <w:szCs w:val="24"/>
                <w:highlight w:val="none"/>
                <w:lang w:val="en-US" w:eastAsia="en-US"/>
              </w:rPr>
              <w:t>0.</w:t>
            </w:r>
            <w:r>
              <w:rPr>
                <w:rFonts w:hint="eastAsia" w:ascii="Times New Roman" w:hAnsi="Times New Roman" w:eastAsia="仿宋" w:cs="Times New Roman"/>
                <w:b w:val="0"/>
                <w:bCs w:val="0"/>
                <w:color w:val="auto"/>
                <w:spacing w:val="0"/>
                <w:w w:val="100"/>
                <w:position w:val="0"/>
                <w:sz w:val="24"/>
                <w:szCs w:val="24"/>
                <w:highlight w:val="none"/>
                <w:lang w:val="en-US" w:eastAsia="zh-CN"/>
              </w:rPr>
              <w:t>2</w:t>
            </w:r>
            <w:r>
              <w:rPr>
                <w:rFonts w:hint="eastAsia" w:ascii="Times New Roman" w:hAnsi="Times New Roman" w:eastAsia="仿宋" w:cs="Times New Roman"/>
                <w:b w:val="0"/>
                <w:bCs w:val="0"/>
                <w:color w:val="auto"/>
                <w:spacing w:val="0"/>
                <w:w w:val="100"/>
                <w:position w:val="0"/>
                <w:sz w:val="24"/>
                <w:szCs w:val="24"/>
                <w:highlight w:val="none"/>
                <w:lang w:val="en-US" w:eastAsia="en-US"/>
              </w:rPr>
              <w:t>5</w:t>
            </w:r>
            <w:r>
              <w:rPr>
                <w:rFonts w:hint="eastAsia" w:ascii="Times New Roman" w:hAnsi="Times New Roman" w:eastAsia="仿宋" w:cs="Times New Roman"/>
                <w:b w:val="0"/>
                <w:bCs w:val="0"/>
                <w:color w:val="auto"/>
                <w:spacing w:val="0"/>
                <w:w w:val="100"/>
                <w:position w:val="0"/>
                <w:sz w:val="24"/>
                <w:szCs w:val="24"/>
                <w:highlight w:val="none"/>
              </w:rPr>
              <w:t>分，最多加</w:t>
            </w:r>
            <w:r>
              <w:rPr>
                <w:rFonts w:hint="eastAsia" w:ascii="Times New Roman" w:hAnsi="Times New Roman" w:eastAsia="仿宋" w:cs="Times New Roman"/>
                <w:b w:val="0"/>
                <w:bCs w:val="0"/>
                <w:color w:val="auto"/>
                <w:spacing w:val="0"/>
                <w:w w:val="100"/>
                <w:position w:val="0"/>
                <w:sz w:val="24"/>
                <w:szCs w:val="24"/>
                <w:highlight w:val="none"/>
                <w:lang w:val="en-US" w:eastAsia="zh-CN"/>
              </w:rPr>
              <w:t>1</w:t>
            </w:r>
            <w:r>
              <w:rPr>
                <w:rFonts w:hint="eastAsia" w:ascii="Times New Roman" w:hAnsi="Times New Roman" w:eastAsia="仿宋" w:cs="Times New Roman"/>
                <w:b w:val="0"/>
                <w:bCs w:val="0"/>
                <w:color w:val="auto"/>
                <w:spacing w:val="0"/>
                <w:w w:val="100"/>
                <w:position w:val="0"/>
                <w:sz w:val="24"/>
                <w:szCs w:val="24"/>
                <w:highlight w:val="none"/>
              </w:rPr>
              <w:t>分；每低于目标值5%</w:t>
            </w:r>
            <w:r>
              <w:rPr>
                <w:rFonts w:hint="eastAsia" w:ascii="Times New Roman" w:hAnsi="Times New Roman" w:eastAsia="仿宋" w:cs="Times New Roman"/>
                <w:b w:val="0"/>
                <w:bCs w:val="0"/>
                <w:color w:val="auto"/>
                <w:spacing w:val="0"/>
                <w:w w:val="100"/>
                <w:position w:val="0"/>
                <w:sz w:val="24"/>
                <w:szCs w:val="24"/>
                <w:highlight w:val="none"/>
                <w:lang w:eastAsia="zh-CN"/>
              </w:rPr>
              <w:t>，</w:t>
            </w:r>
            <w:r>
              <w:rPr>
                <w:rFonts w:hint="eastAsia" w:ascii="Times New Roman" w:hAnsi="Times New Roman" w:eastAsia="仿宋" w:cs="Times New Roman"/>
                <w:b w:val="0"/>
                <w:bCs w:val="0"/>
                <w:color w:val="auto"/>
                <w:spacing w:val="0"/>
                <w:w w:val="100"/>
                <w:position w:val="0"/>
                <w:sz w:val="24"/>
                <w:szCs w:val="24"/>
                <w:highlight w:val="none"/>
              </w:rPr>
              <w:t>扣基本分</w:t>
            </w:r>
            <w:r>
              <w:rPr>
                <w:rFonts w:hint="eastAsia" w:ascii="Times New Roman" w:hAnsi="Times New Roman" w:eastAsia="仿宋" w:cs="Times New Roman"/>
                <w:b w:val="0"/>
                <w:bCs w:val="0"/>
                <w:color w:val="auto"/>
                <w:spacing w:val="0"/>
                <w:w w:val="100"/>
                <w:position w:val="0"/>
                <w:sz w:val="24"/>
                <w:szCs w:val="24"/>
                <w:highlight w:val="none"/>
                <w:lang w:val="en-US" w:eastAsia="en-US"/>
              </w:rPr>
              <w:t>0.</w:t>
            </w:r>
            <w:r>
              <w:rPr>
                <w:rFonts w:hint="eastAsia" w:ascii="Times New Roman" w:hAnsi="Times New Roman" w:eastAsia="仿宋" w:cs="Times New Roman"/>
                <w:b w:val="0"/>
                <w:bCs w:val="0"/>
                <w:color w:val="auto"/>
                <w:spacing w:val="0"/>
                <w:w w:val="100"/>
                <w:position w:val="0"/>
                <w:sz w:val="24"/>
                <w:szCs w:val="24"/>
                <w:highlight w:val="none"/>
                <w:lang w:val="en-US" w:eastAsia="zh-CN"/>
              </w:rPr>
              <w:t>2</w:t>
            </w:r>
            <w:r>
              <w:rPr>
                <w:rFonts w:hint="eastAsia" w:ascii="Times New Roman" w:hAnsi="Times New Roman" w:eastAsia="仿宋" w:cs="Times New Roman"/>
                <w:b w:val="0"/>
                <w:bCs w:val="0"/>
                <w:color w:val="auto"/>
                <w:spacing w:val="0"/>
                <w:w w:val="100"/>
                <w:position w:val="0"/>
                <w:sz w:val="24"/>
                <w:szCs w:val="24"/>
                <w:highlight w:val="none"/>
                <w:lang w:val="en-US" w:eastAsia="en-US"/>
              </w:rPr>
              <w:t>5</w:t>
            </w:r>
            <w:r>
              <w:rPr>
                <w:rFonts w:hint="eastAsia" w:ascii="Times New Roman" w:hAnsi="Times New Roman" w:eastAsia="仿宋" w:cs="Times New Roman"/>
                <w:b w:val="0"/>
                <w:bCs w:val="0"/>
                <w:color w:val="auto"/>
                <w:spacing w:val="0"/>
                <w:w w:val="100"/>
                <w:position w:val="0"/>
                <w:sz w:val="24"/>
                <w:szCs w:val="24"/>
                <w:highlight w:val="none"/>
              </w:rPr>
              <w:t>分，最多扣</w:t>
            </w:r>
            <w:r>
              <w:rPr>
                <w:rFonts w:hint="eastAsia" w:ascii="Times New Roman" w:hAnsi="Times New Roman" w:eastAsia="仿宋" w:cs="Times New Roman"/>
                <w:b w:val="0"/>
                <w:bCs w:val="0"/>
                <w:color w:val="auto"/>
                <w:spacing w:val="0"/>
                <w:w w:val="100"/>
                <w:position w:val="0"/>
                <w:sz w:val="24"/>
                <w:szCs w:val="24"/>
                <w:highlight w:val="none"/>
                <w:lang w:val="en-US" w:eastAsia="zh-CN"/>
              </w:rPr>
              <w:t>9</w:t>
            </w:r>
            <w:r>
              <w:rPr>
                <w:rFonts w:hint="eastAsia" w:ascii="Times New Roman" w:hAnsi="Times New Roman" w:eastAsia="仿宋" w:cs="Times New Roman"/>
                <w:b w:val="0"/>
                <w:bCs w:val="0"/>
                <w:color w:val="auto"/>
                <w:spacing w:val="0"/>
                <w:w w:val="100"/>
                <w:position w:val="0"/>
                <w:sz w:val="24"/>
                <w:szCs w:val="24"/>
                <w:highlight w:val="none"/>
              </w:rPr>
              <w:t>分。</w:t>
            </w:r>
          </w:p>
        </w:tc>
        <w:tc>
          <w:tcPr>
            <w:tcW w:w="643" w:type="dxa"/>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 w:val="24"/>
                <w:szCs w:val="24"/>
                <w:highlight w:val="none"/>
              </w:rPr>
            </w:pPr>
          </w:p>
        </w:tc>
      </w:tr>
      <w:tr>
        <w:tblPrEx>
          <w:tblLayout w:type="fixed"/>
          <w:tblCellMar>
            <w:top w:w="0" w:type="dxa"/>
            <w:left w:w="10" w:type="dxa"/>
            <w:bottom w:w="0" w:type="dxa"/>
            <w:right w:w="10" w:type="dxa"/>
          </w:tblCellMar>
        </w:tblPrEx>
        <w:trPr>
          <w:trHeight w:val="1959" w:hRule="exact"/>
          <w:jc w:val="center"/>
        </w:trPr>
        <w:tc>
          <w:tcPr>
            <w:tcW w:w="734" w:type="dxa"/>
            <w:tcBorders>
              <w:top w:val="single" w:color="auto" w:sz="4" w:space="0"/>
              <w:lef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280"/>
              <w:jc w:val="left"/>
              <w:textAlignment w:val="auto"/>
              <w:rPr>
                <w:color w:val="auto"/>
                <w:sz w:val="24"/>
                <w:szCs w:val="24"/>
                <w:highlight w:val="none"/>
              </w:rPr>
            </w:pPr>
            <w:r>
              <w:rPr>
                <w:rFonts w:ascii="Times New Roman" w:hAnsi="Times New Roman" w:eastAsia="Times New Roman" w:cs="Times New Roman"/>
                <w:color w:val="auto"/>
                <w:spacing w:val="0"/>
                <w:w w:val="100"/>
                <w:position w:val="0"/>
                <w:sz w:val="24"/>
                <w:szCs w:val="24"/>
                <w:highlight w:val="none"/>
              </w:rPr>
              <w:t>2</w:t>
            </w:r>
          </w:p>
        </w:tc>
        <w:tc>
          <w:tcPr>
            <w:tcW w:w="1016" w:type="dxa"/>
            <w:tcBorders>
              <w:top w:val="single" w:color="auto" w:sz="4" w:space="0"/>
              <w:lef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国有资本保值增值率</w:t>
            </w:r>
          </w:p>
        </w:tc>
        <w:tc>
          <w:tcPr>
            <w:tcW w:w="941" w:type="dxa"/>
            <w:tcBorders>
              <w:top w:val="single" w:color="auto" w:sz="4" w:space="0"/>
              <w:lef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0"/>
                <w:w w:val="100"/>
                <w:position w:val="0"/>
                <w:sz w:val="24"/>
                <w:szCs w:val="24"/>
                <w:highlight w:val="none"/>
                <w:lang w:val="en-US" w:eastAsia="zh-CN"/>
              </w:rPr>
              <w:t>5</w:t>
            </w:r>
          </w:p>
        </w:tc>
        <w:tc>
          <w:tcPr>
            <w:tcW w:w="790"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p>
        </w:tc>
        <w:tc>
          <w:tcPr>
            <w:tcW w:w="4598" w:type="dxa"/>
            <w:tcBorders>
              <w:top w:val="single" w:color="auto" w:sz="4" w:space="0"/>
              <w:left w:val="single" w:color="auto" w:sz="4" w:space="0"/>
            </w:tcBorders>
            <w:shd w:val="clear" w:color="auto" w:fill="FFFFFF"/>
            <w:vAlign w:val="bottom"/>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eastAsia" w:ascii="Times New Roman" w:hAnsi="Times New Roman" w:eastAsia="仿宋" w:cs="Times New Roman"/>
                <w:b w:val="0"/>
                <w:bCs w:val="0"/>
                <w:color w:val="auto"/>
                <w:spacing w:val="0"/>
                <w:w w:val="100"/>
                <w:position w:val="0"/>
                <w:sz w:val="24"/>
                <w:szCs w:val="24"/>
                <w:highlight w:val="none"/>
                <w:lang w:eastAsia="zh-CN"/>
              </w:rPr>
            </w:pPr>
            <w:r>
              <w:rPr>
                <w:rFonts w:hint="eastAsia" w:ascii="Times New Roman" w:hAnsi="Times New Roman" w:eastAsia="仿宋" w:cs="Times New Roman"/>
                <w:b w:val="0"/>
                <w:bCs w:val="0"/>
                <w:color w:val="auto"/>
                <w:spacing w:val="0"/>
                <w:w w:val="100"/>
                <w:position w:val="0"/>
                <w:sz w:val="24"/>
                <w:szCs w:val="24"/>
                <w:highlight w:val="none"/>
              </w:rPr>
              <w:t>完成目标值，得</w:t>
            </w:r>
            <w:r>
              <w:rPr>
                <w:rFonts w:hint="eastAsia" w:ascii="Times New Roman" w:hAnsi="Times New Roman" w:eastAsia="仿宋" w:cs="Times New Roman"/>
                <w:b w:val="0"/>
                <w:bCs w:val="0"/>
                <w:color w:val="auto"/>
                <w:spacing w:val="0"/>
                <w:w w:val="100"/>
                <w:position w:val="0"/>
                <w:sz w:val="24"/>
                <w:szCs w:val="24"/>
                <w:highlight w:val="none"/>
                <w:lang w:eastAsia="zh-CN"/>
              </w:rPr>
              <w:t>基本分</w:t>
            </w:r>
            <w:r>
              <w:rPr>
                <w:rFonts w:hint="eastAsia" w:ascii="Times New Roman" w:hAnsi="Times New Roman" w:eastAsia="仿宋" w:cs="Times New Roman"/>
                <w:b w:val="0"/>
                <w:bCs w:val="0"/>
                <w:color w:val="auto"/>
                <w:spacing w:val="0"/>
                <w:w w:val="100"/>
                <w:position w:val="0"/>
                <w:sz w:val="24"/>
                <w:szCs w:val="24"/>
                <w:highlight w:val="none"/>
                <w:lang w:val="en-US" w:eastAsia="zh-CN"/>
              </w:rPr>
              <w:t>4.5</w:t>
            </w:r>
            <w:r>
              <w:rPr>
                <w:rFonts w:hint="eastAsia" w:ascii="Times New Roman" w:hAnsi="Times New Roman" w:eastAsia="仿宋" w:cs="Times New Roman"/>
                <w:b w:val="0"/>
                <w:bCs w:val="0"/>
                <w:color w:val="auto"/>
                <w:spacing w:val="0"/>
                <w:w w:val="100"/>
                <w:position w:val="0"/>
                <w:sz w:val="24"/>
                <w:szCs w:val="24"/>
                <w:highlight w:val="none"/>
              </w:rPr>
              <w:t>分；每超过目标值</w:t>
            </w:r>
            <w:r>
              <w:rPr>
                <w:rFonts w:hint="eastAsia" w:ascii="Times New Roman" w:hAnsi="Times New Roman" w:eastAsia="仿宋" w:cs="Times New Roman"/>
                <w:b w:val="0"/>
                <w:bCs w:val="0"/>
                <w:color w:val="auto"/>
                <w:spacing w:val="0"/>
                <w:w w:val="100"/>
                <w:position w:val="0"/>
                <w:sz w:val="24"/>
                <w:szCs w:val="24"/>
                <w:highlight w:val="none"/>
                <w:lang w:val="en-US" w:eastAsia="en-US"/>
              </w:rPr>
              <w:t>0.1</w:t>
            </w:r>
            <w:r>
              <w:rPr>
                <w:rFonts w:hint="eastAsia" w:ascii="Times New Roman" w:hAnsi="Times New Roman" w:eastAsia="仿宋" w:cs="Times New Roman"/>
                <w:b w:val="0"/>
                <w:bCs w:val="0"/>
                <w:color w:val="auto"/>
                <w:spacing w:val="0"/>
                <w:w w:val="100"/>
                <w:position w:val="0"/>
                <w:sz w:val="24"/>
                <w:szCs w:val="24"/>
                <w:highlight w:val="none"/>
              </w:rPr>
              <w:t>个百分点，加</w:t>
            </w:r>
            <w:r>
              <w:rPr>
                <w:rFonts w:hint="eastAsia" w:ascii="Times New Roman" w:hAnsi="Times New Roman" w:eastAsia="仿宋" w:cs="Times New Roman"/>
                <w:b w:val="0"/>
                <w:bCs w:val="0"/>
                <w:color w:val="auto"/>
                <w:spacing w:val="0"/>
                <w:w w:val="100"/>
                <w:position w:val="0"/>
                <w:sz w:val="24"/>
                <w:szCs w:val="24"/>
                <w:highlight w:val="none"/>
                <w:lang w:val="en-US" w:eastAsia="en-US"/>
              </w:rPr>
              <w:t>0.</w:t>
            </w:r>
            <w:r>
              <w:rPr>
                <w:rFonts w:hint="eastAsia" w:ascii="Times New Roman" w:hAnsi="Times New Roman" w:eastAsia="仿宋" w:cs="Times New Roman"/>
                <w:b w:val="0"/>
                <w:bCs w:val="0"/>
                <w:color w:val="auto"/>
                <w:spacing w:val="0"/>
                <w:w w:val="100"/>
                <w:position w:val="0"/>
                <w:sz w:val="24"/>
                <w:szCs w:val="24"/>
                <w:highlight w:val="none"/>
                <w:lang w:val="en-US" w:eastAsia="zh-CN"/>
              </w:rPr>
              <w:t>2</w:t>
            </w:r>
            <w:r>
              <w:rPr>
                <w:rFonts w:hint="eastAsia" w:ascii="Times New Roman" w:hAnsi="Times New Roman" w:eastAsia="仿宋" w:cs="Times New Roman"/>
                <w:b w:val="0"/>
                <w:bCs w:val="0"/>
                <w:color w:val="auto"/>
                <w:spacing w:val="0"/>
                <w:w w:val="100"/>
                <w:position w:val="0"/>
                <w:sz w:val="24"/>
                <w:szCs w:val="24"/>
                <w:highlight w:val="none"/>
                <w:lang w:val="en-US" w:eastAsia="en-US"/>
              </w:rPr>
              <w:t>5</w:t>
            </w:r>
            <w:r>
              <w:rPr>
                <w:rFonts w:hint="eastAsia" w:ascii="Times New Roman" w:hAnsi="Times New Roman" w:eastAsia="仿宋" w:cs="Times New Roman"/>
                <w:b w:val="0"/>
                <w:bCs w:val="0"/>
                <w:color w:val="auto"/>
                <w:spacing w:val="0"/>
                <w:w w:val="100"/>
                <w:position w:val="0"/>
                <w:sz w:val="24"/>
                <w:szCs w:val="24"/>
                <w:highlight w:val="none"/>
              </w:rPr>
              <w:t>分，最多加</w:t>
            </w:r>
            <w:r>
              <w:rPr>
                <w:rFonts w:hint="eastAsia" w:ascii="Times New Roman" w:hAnsi="Times New Roman" w:eastAsia="仿宋" w:cs="Times New Roman"/>
                <w:b w:val="0"/>
                <w:bCs w:val="0"/>
                <w:color w:val="auto"/>
                <w:spacing w:val="0"/>
                <w:w w:val="100"/>
                <w:position w:val="0"/>
                <w:sz w:val="24"/>
                <w:szCs w:val="24"/>
                <w:highlight w:val="none"/>
                <w:lang w:val="en-US" w:eastAsia="zh-CN"/>
              </w:rPr>
              <w:t>0.5</w:t>
            </w:r>
            <w:r>
              <w:rPr>
                <w:rFonts w:hint="eastAsia" w:ascii="Times New Roman" w:hAnsi="Times New Roman" w:eastAsia="仿宋" w:cs="Times New Roman"/>
                <w:b w:val="0"/>
                <w:bCs w:val="0"/>
                <w:color w:val="auto"/>
                <w:spacing w:val="0"/>
                <w:w w:val="100"/>
                <w:position w:val="0"/>
                <w:sz w:val="24"/>
                <w:szCs w:val="24"/>
                <w:highlight w:val="none"/>
              </w:rPr>
              <w:t>分；每低于目标值</w:t>
            </w:r>
            <w:r>
              <w:rPr>
                <w:rFonts w:hint="eastAsia" w:ascii="Times New Roman" w:hAnsi="Times New Roman" w:eastAsia="仿宋" w:cs="Times New Roman"/>
                <w:b w:val="0"/>
                <w:bCs w:val="0"/>
                <w:color w:val="auto"/>
                <w:spacing w:val="0"/>
                <w:w w:val="100"/>
                <w:position w:val="0"/>
                <w:sz w:val="24"/>
                <w:szCs w:val="24"/>
                <w:highlight w:val="none"/>
                <w:lang w:val="en-US" w:eastAsia="en-US"/>
              </w:rPr>
              <w:t>0.1</w:t>
            </w:r>
            <w:r>
              <w:rPr>
                <w:rFonts w:hint="eastAsia" w:ascii="Times New Roman" w:hAnsi="Times New Roman" w:eastAsia="仿宋" w:cs="Times New Roman"/>
                <w:b w:val="0"/>
                <w:bCs w:val="0"/>
                <w:color w:val="auto"/>
                <w:spacing w:val="0"/>
                <w:w w:val="100"/>
                <w:position w:val="0"/>
                <w:sz w:val="24"/>
                <w:szCs w:val="24"/>
                <w:highlight w:val="none"/>
              </w:rPr>
              <w:t>个百分点</w:t>
            </w:r>
            <w:r>
              <w:rPr>
                <w:rFonts w:hint="eastAsia" w:ascii="Times New Roman" w:hAnsi="Times New Roman" w:eastAsia="仿宋" w:cs="Times New Roman"/>
                <w:b w:val="0"/>
                <w:bCs w:val="0"/>
                <w:color w:val="auto"/>
                <w:spacing w:val="0"/>
                <w:w w:val="100"/>
                <w:position w:val="0"/>
                <w:sz w:val="24"/>
                <w:szCs w:val="24"/>
                <w:highlight w:val="none"/>
                <w:lang w:eastAsia="zh-CN"/>
              </w:rPr>
              <w:t>，</w:t>
            </w:r>
            <w:r>
              <w:rPr>
                <w:rFonts w:hint="eastAsia" w:ascii="Times New Roman" w:hAnsi="Times New Roman" w:eastAsia="仿宋" w:cs="Times New Roman"/>
                <w:b w:val="0"/>
                <w:bCs w:val="0"/>
                <w:color w:val="auto"/>
                <w:spacing w:val="0"/>
                <w:w w:val="100"/>
                <w:position w:val="0"/>
                <w:sz w:val="24"/>
                <w:szCs w:val="24"/>
                <w:highlight w:val="none"/>
              </w:rPr>
              <w:t>扣基本分</w:t>
            </w:r>
            <w:r>
              <w:rPr>
                <w:rFonts w:hint="eastAsia" w:ascii="Times New Roman" w:hAnsi="Times New Roman" w:eastAsia="仿宋" w:cs="Times New Roman"/>
                <w:b w:val="0"/>
                <w:bCs w:val="0"/>
                <w:color w:val="auto"/>
                <w:spacing w:val="0"/>
                <w:w w:val="100"/>
                <w:position w:val="0"/>
                <w:sz w:val="24"/>
                <w:szCs w:val="24"/>
                <w:highlight w:val="none"/>
                <w:lang w:val="en-US" w:eastAsia="en-US"/>
              </w:rPr>
              <w:t>0.</w:t>
            </w:r>
            <w:r>
              <w:rPr>
                <w:rFonts w:hint="eastAsia" w:ascii="Times New Roman" w:hAnsi="Times New Roman" w:eastAsia="仿宋" w:cs="Times New Roman"/>
                <w:b w:val="0"/>
                <w:bCs w:val="0"/>
                <w:color w:val="auto"/>
                <w:spacing w:val="0"/>
                <w:w w:val="100"/>
                <w:position w:val="0"/>
                <w:sz w:val="24"/>
                <w:szCs w:val="24"/>
                <w:highlight w:val="none"/>
                <w:lang w:val="en-US" w:eastAsia="zh-CN"/>
              </w:rPr>
              <w:t>2</w:t>
            </w:r>
            <w:r>
              <w:rPr>
                <w:rFonts w:hint="eastAsia" w:ascii="Times New Roman" w:hAnsi="Times New Roman" w:eastAsia="仿宋" w:cs="Times New Roman"/>
                <w:b w:val="0"/>
                <w:bCs w:val="0"/>
                <w:color w:val="auto"/>
                <w:spacing w:val="0"/>
                <w:w w:val="100"/>
                <w:position w:val="0"/>
                <w:sz w:val="24"/>
                <w:szCs w:val="24"/>
                <w:highlight w:val="none"/>
                <w:lang w:val="en-US" w:eastAsia="en-US"/>
              </w:rPr>
              <w:t>5</w:t>
            </w:r>
            <w:r>
              <w:rPr>
                <w:rFonts w:hint="eastAsia" w:ascii="Times New Roman" w:hAnsi="Times New Roman" w:eastAsia="仿宋" w:cs="Times New Roman"/>
                <w:b w:val="0"/>
                <w:bCs w:val="0"/>
                <w:color w:val="auto"/>
                <w:spacing w:val="0"/>
                <w:w w:val="100"/>
                <w:position w:val="0"/>
                <w:sz w:val="24"/>
                <w:szCs w:val="24"/>
                <w:highlight w:val="none"/>
              </w:rPr>
              <w:t>分，最多扣</w:t>
            </w:r>
            <w:r>
              <w:rPr>
                <w:rFonts w:hint="eastAsia" w:ascii="Times New Roman" w:hAnsi="Times New Roman" w:eastAsia="仿宋" w:cs="Times New Roman"/>
                <w:b w:val="0"/>
                <w:bCs w:val="0"/>
                <w:color w:val="auto"/>
                <w:spacing w:val="0"/>
                <w:w w:val="100"/>
                <w:position w:val="0"/>
                <w:sz w:val="24"/>
                <w:szCs w:val="24"/>
                <w:highlight w:val="none"/>
                <w:lang w:val="en-US" w:eastAsia="zh-CN"/>
              </w:rPr>
              <w:t>4.5</w:t>
            </w:r>
            <w:r>
              <w:rPr>
                <w:rFonts w:hint="eastAsia" w:ascii="Times New Roman" w:hAnsi="Times New Roman" w:eastAsia="仿宋" w:cs="Times New Roman"/>
                <w:b w:val="0"/>
                <w:bCs w:val="0"/>
                <w:color w:val="auto"/>
                <w:spacing w:val="0"/>
                <w:w w:val="100"/>
                <w:position w:val="0"/>
                <w:sz w:val="24"/>
                <w:szCs w:val="24"/>
                <w:highlight w:val="none"/>
              </w:rPr>
              <w:t>分</w:t>
            </w:r>
            <w:r>
              <w:rPr>
                <w:rFonts w:hint="eastAsia" w:ascii="Times New Roman" w:hAnsi="Times New Roman" w:eastAsia="仿宋" w:cs="Times New Roman"/>
                <w:b w:val="0"/>
                <w:bCs w:val="0"/>
                <w:color w:val="auto"/>
                <w:spacing w:val="0"/>
                <w:w w:val="100"/>
                <w:position w:val="0"/>
                <w:sz w:val="24"/>
                <w:szCs w:val="24"/>
                <w:highlight w:val="none"/>
                <w:lang w:eastAsia="zh-CN"/>
              </w:rPr>
              <w:t>。</w:t>
            </w:r>
          </w:p>
        </w:tc>
        <w:tc>
          <w:tcPr>
            <w:tcW w:w="643" w:type="dxa"/>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 w:val="24"/>
                <w:szCs w:val="24"/>
                <w:highlight w:val="none"/>
              </w:rPr>
            </w:pPr>
          </w:p>
        </w:tc>
      </w:tr>
      <w:tr>
        <w:tblPrEx>
          <w:tblLayout w:type="fixed"/>
          <w:tblCellMar>
            <w:top w:w="0" w:type="dxa"/>
            <w:left w:w="10" w:type="dxa"/>
            <w:bottom w:w="0" w:type="dxa"/>
            <w:right w:w="10" w:type="dxa"/>
          </w:tblCellMar>
        </w:tblPrEx>
        <w:trPr>
          <w:trHeight w:val="2913" w:hRule="exact"/>
          <w:jc w:val="center"/>
        </w:trPr>
        <w:tc>
          <w:tcPr>
            <w:tcW w:w="734" w:type="dxa"/>
            <w:tcBorders>
              <w:top w:val="single" w:color="auto" w:sz="4" w:space="0"/>
              <w:left w:val="single" w:color="auto" w:sz="4" w:space="0"/>
              <w:bottom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280"/>
              <w:jc w:val="left"/>
              <w:textAlignment w:val="auto"/>
              <w:rPr>
                <w:color w:val="auto"/>
                <w:sz w:val="24"/>
                <w:szCs w:val="24"/>
                <w:highlight w:val="none"/>
              </w:rPr>
            </w:pPr>
            <w:r>
              <w:rPr>
                <w:rFonts w:ascii="Times New Roman" w:hAnsi="Times New Roman" w:eastAsia="Times New Roman" w:cs="Times New Roman"/>
                <w:color w:val="auto"/>
                <w:spacing w:val="0"/>
                <w:w w:val="100"/>
                <w:position w:val="0"/>
                <w:sz w:val="24"/>
                <w:szCs w:val="24"/>
                <w:highlight w:val="none"/>
              </w:rPr>
              <w:t>3</w:t>
            </w:r>
          </w:p>
        </w:tc>
        <w:tc>
          <w:tcPr>
            <w:tcW w:w="1016" w:type="dxa"/>
            <w:tcBorders>
              <w:top w:val="single" w:color="auto" w:sz="4" w:space="0"/>
              <w:left w:val="single" w:color="auto" w:sz="4" w:space="0"/>
              <w:bottom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资产负债率</w:t>
            </w:r>
          </w:p>
        </w:tc>
        <w:tc>
          <w:tcPr>
            <w:tcW w:w="941" w:type="dxa"/>
            <w:tcBorders>
              <w:top w:val="single" w:color="auto" w:sz="4" w:space="0"/>
              <w:left w:val="single" w:color="auto" w:sz="4" w:space="0"/>
              <w:bottom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2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pacing w:val="0"/>
                <w:w w:val="100"/>
                <w:position w:val="0"/>
                <w:sz w:val="24"/>
                <w:szCs w:val="24"/>
                <w:highlight w:val="none"/>
                <w:lang w:val="en-US" w:eastAsia="zh-CN"/>
              </w:rPr>
              <w:t>35</w:t>
            </w:r>
          </w:p>
        </w:tc>
        <w:tc>
          <w:tcPr>
            <w:tcW w:w="790"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p>
        </w:tc>
        <w:tc>
          <w:tcPr>
            <w:tcW w:w="4598" w:type="dxa"/>
            <w:tcBorders>
              <w:top w:val="single" w:color="auto" w:sz="4" w:space="0"/>
              <w:left w:val="single" w:color="auto" w:sz="4" w:space="0"/>
              <w:bottom w:val="single" w:color="auto" w:sz="4" w:space="0"/>
            </w:tcBorders>
            <w:shd w:val="clear" w:color="auto" w:fill="FFFFFF"/>
            <w:vAlign w:val="bottom"/>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eastAsia" w:ascii="Times New Roman" w:hAnsi="Times New Roman" w:eastAsia="仿宋" w:cs="Times New Roman"/>
                <w:b w:val="0"/>
                <w:bCs w:val="0"/>
                <w:color w:val="auto"/>
                <w:spacing w:val="0"/>
                <w:w w:val="100"/>
                <w:position w:val="0"/>
                <w:sz w:val="24"/>
                <w:szCs w:val="24"/>
                <w:highlight w:val="none"/>
              </w:rPr>
            </w:pPr>
            <w:r>
              <w:rPr>
                <w:rFonts w:hint="eastAsia" w:ascii="Times New Roman" w:hAnsi="Times New Roman" w:eastAsia="仿宋" w:cs="Times New Roman"/>
                <w:b w:val="0"/>
                <w:bCs w:val="0"/>
                <w:color w:val="auto"/>
                <w:spacing w:val="0"/>
                <w:w w:val="100"/>
                <w:position w:val="0"/>
                <w:sz w:val="24"/>
                <w:szCs w:val="24"/>
                <w:highlight w:val="none"/>
              </w:rPr>
              <w:t>企业资产负债率65%（含65%）以下的，该指标考核计</w:t>
            </w:r>
            <w:r>
              <w:rPr>
                <w:rFonts w:hint="eastAsia" w:ascii="Times New Roman" w:hAnsi="Times New Roman" w:eastAsia="仿宋" w:cs="Times New Roman"/>
                <w:b w:val="0"/>
                <w:bCs w:val="0"/>
                <w:color w:val="auto"/>
                <w:spacing w:val="0"/>
                <w:w w:val="100"/>
                <w:position w:val="0"/>
                <w:sz w:val="24"/>
                <w:szCs w:val="24"/>
                <w:highlight w:val="none"/>
                <w:lang w:val="en-US" w:eastAsia="zh-CN"/>
              </w:rPr>
              <w:t>35</w:t>
            </w:r>
            <w:r>
              <w:rPr>
                <w:rFonts w:hint="eastAsia" w:ascii="Times New Roman" w:hAnsi="Times New Roman" w:eastAsia="仿宋" w:cs="Times New Roman"/>
                <w:b w:val="0"/>
                <w:bCs w:val="0"/>
                <w:color w:val="auto"/>
                <w:spacing w:val="0"/>
                <w:w w:val="100"/>
                <w:position w:val="0"/>
                <w:sz w:val="24"/>
                <w:szCs w:val="24"/>
                <w:highlight w:val="none"/>
              </w:rPr>
              <w:t>分；资产负债率65%—70%（含70%）</w:t>
            </w:r>
            <w:r>
              <w:rPr>
                <w:rFonts w:hint="eastAsia" w:ascii="Times New Roman" w:hAnsi="Times New Roman" w:eastAsia="仿宋" w:cs="Times New Roman"/>
                <w:b w:val="0"/>
                <w:bCs w:val="0"/>
                <w:color w:val="auto"/>
                <w:spacing w:val="0"/>
                <w:w w:val="100"/>
                <w:position w:val="0"/>
                <w:sz w:val="24"/>
                <w:szCs w:val="24"/>
                <w:highlight w:val="none"/>
                <w:lang w:eastAsia="zh-CN"/>
              </w:rPr>
              <w:t>，</w:t>
            </w:r>
            <w:r>
              <w:rPr>
                <w:rFonts w:hint="eastAsia" w:ascii="Times New Roman" w:hAnsi="Times New Roman" w:eastAsia="仿宋" w:cs="Times New Roman"/>
                <w:b w:val="0"/>
                <w:bCs w:val="0"/>
                <w:color w:val="auto"/>
                <w:spacing w:val="0"/>
                <w:w w:val="100"/>
                <w:position w:val="0"/>
                <w:sz w:val="24"/>
                <w:szCs w:val="24"/>
                <w:highlight w:val="none"/>
              </w:rPr>
              <w:t>该项指标</w:t>
            </w:r>
            <w:r>
              <w:rPr>
                <w:rFonts w:hint="eastAsia" w:ascii="Times New Roman" w:hAnsi="Times New Roman" w:eastAsia="仿宋" w:cs="Times New Roman"/>
                <w:b w:val="0"/>
                <w:bCs w:val="0"/>
                <w:color w:val="auto"/>
                <w:spacing w:val="0"/>
                <w:w w:val="100"/>
                <w:position w:val="0"/>
                <w:sz w:val="24"/>
                <w:szCs w:val="24"/>
                <w:highlight w:val="none"/>
                <w:lang w:eastAsia="zh-CN"/>
              </w:rPr>
              <w:t>计</w:t>
            </w:r>
            <w:r>
              <w:rPr>
                <w:rFonts w:hint="eastAsia" w:ascii="Times New Roman" w:hAnsi="Times New Roman" w:eastAsia="仿宋" w:cs="Times New Roman"/>
                <w:b w:val="0"/>
                <w:bCs w:val="0"/>
                <w:color w:val="auto"/>
                <w:spacing w:val="0"/>
                <w:w w:val="100"/>
                <w:position w:val="0"/>
                <w:sz w:val="24"/>
                <w:szCs w:val="24"/>
                <w:highlight w:val="none"/>
                <w:lang w:val="en-US" w:eastAsia="zh-CN"/>
              </w:rPr>
              <w:t>31.5</w:t>
            </w:r>
            <w:r>
              <w:rPr>
                <w:rFonts w:hint="eastAsia" w:ascii="Times New Roman" w:hAnsi="Times New Roman" w:eastAsia="仿宋" w:cs="Times New Roman"/>
                <w:b w:val="0"/>
                <w:bCs w:val="0"/>
                <w:color w:val="auto"/>
                <w:spacing w:val="0"/>
                <w:w w:val="100"/>
                <w:position w:val="0"/>
                <w:sz w:val="24"/>
                <w:szCs w:val="24"/>
                <w:highlight w:val="none"/>
              </w:rPr>
              <w:t>分；资产负债率临界线（70%）以上的，完成目标值得基本分</w:t>
            </w:r>
            <w:r>
              <w:rPr>
                <w:rFonts w:hint="eastAsia" w:ascii="Times New Roman" w:hAnsi="Times New Roman" w:eastAsia="仿宋" w:cs="Times New Roman"/>
                <w:b w:val="0"/>
                <w:bCs w:val="0"/>
                <w:color w:val="auto"/>
                <w:spacing w:val="0"/>
                <w:w w:val="100"/>
                <w:position w:val="0"/>
                <w:sz w:val="24"/>
                <w:szCs w:val="24"/>
                <w:highlight w:val="none"/>
                <w:lang w:val="en-US" w:eastAsia="zh-CN"/>
              </w:rPr>
              <w:t>28</w:t>
            </w:r>
            <w:r>
              <w:rPr>
                <w:rFonts w:hint="eastAsia" w:ascii="Times New Roman" w:hAnsi="Times New Roman" w:eastAsia="仿宋" w:cs="Times New Roman"/>
                <w:b w:val="0"/>
                <w:bCs w:val="0"/>
                <w:color w:val="auto"/>
                <w:spacing w:val="0"/>
                <w:w w:val="100"/>
                <w:position w:val="0"/>
                <w:sz w:val="24"/>
                <w:szCs w:val="24"/>
                <w:highlight w:val="none"/>
              </w:rPr>
              <w:t>分，每低于目标值</w:t>
            </w:r>
            <w:r>
              <w:rPr>
                <w:rFonts w:hint="eastAsia" w:ascii="Times New Roman" w:hAnsi="Times New Roman" w:eastAsia="仿宋" w:cs="Times New Roman"/>
                <w:b w:val="0"/>
                <w:bCs w:val="0"/>
                <w:color w:val="auto"/>
                <w:spacing w:val="0"/>
                <w:w w:val="100"/>
                <w:position w:val="0"/>
                <w:sz w:val="24"/>
                <w:szCs w:val="24"/>
                <w:highlight w:val="none"/>
                <w:lang w:val="en-US" w:eastAsia="en-US"/>
              </w:rPr>
              <w:t>0.5</w:t>
            </w:r>
            <w:r>
              <w:rPr>
                <w:rFonts w:hint="eastAsia" w:ascii="Times New Roman" w:hAnsi="Times New Roman" w:eastAsia="仿宋" w:cs="Times New Roman"/>
                <w:b w:val="0"/>
                <w:bCs w:val="0"/>
                <w:color w:val="auto"/>
                <w:spacing w:val="0"/>
                <w:w w:val="100"/>
                <w:position w:val="0"/>
                <w:sz w:val="24"/>
                <w:szCs w:val="24"/>
                <w:highlight w:val="none"/>
              </w:rPr>
              <w:t>个百分点，加</w:t>
            </w:r>
            <w:r>
              <w:rPr>
                <w:rFonts w:hint="eastAsia" w:ascii="Times New Roman" w:hAnsi="Times New Roman" w:eastAsia="仿宋" w:cs="Times New Roman"/>
                <w:b w:val="0"/>
                <w:bCs w:val="0"/>
                <w:color w:val="auto"/>
                <w:spacing w:val="0"/>
                <w:w w:val="100"/>
                <w:position w:val="0"/>
                <w:sz w:val="24"/>
                <w:szCs w:val="24"/>
                <w:highlight w:val="none"/>
                <w:lang w:val="en-US" w:eastAsia="en-US"/>
              </w:rPr>
              <w:t>0.5</w:t>
            </w:r>
            <w:r>
              <w:rPr>
                <w:rFonts w:hint="eastAsia" w:ascii="Times New Roman" w:hAnsi="Times New Roman" w:eastAsia="仿宋" w:cs="Times New Roman"/>
                <w:b w:val="0"/>
                <w:bCs w:val="0"/>
                <w:color w:val="auto"/>
                <w:spacing w:val="0"/>
                <w:w w:val="100"/>
                <w:position w:val="0"/>
                <w:sz w:val="24"/>
                <w:szCs w:val="24"/>
                <w:highlight w:val="none"/>
              </w:rPr>
              <w:t>分，最多加</w:t>
            </w:r>
            <w:r>
              <w:rPr>
                <w:rFonts w:hint="eastAsia" w:ascii="Times New Roman" w:hAnsi="Times New Roman" w:eastAsia="仿宋" w:cs="Times New Roman"/>
                <w:b w:val="0"/>
                <w:bCs w:val="0"/>
                <w:color w:val="auto"/>
                <w:spacing w:val="0"/>
                <w:w w:val="100"/>
                <w:position w:val="0"/>
                <w:sz w:val="24"/>
                <w:szCs w:val="24"/>
                <w:highlight w:val="none"/>
                <w:lang w:val="en-US" w:eastAsia="zh-CN"/>
              </w:rPr>
              <w:t>3.5</w:t>
            </w:r>
            <w:r>
              <w:rPr>
                <w:rFonts w:hint="eastAsia" w:ascii="Times New Roman" w:hAnsi="Times New Roman" w:eastAsia="仿宋" w:cs="Times New Roman"/>
                <w:b w:val="0"/>
                <w:bCs w:val="0"/>
                <w:color w:val="auto"/>
                <w:spacing w:val="0"/>
                <w:w w:val="100"/>
                <w:position w:val="0"/>
                <w:sz w:val="24"/>
                <w:szCs w:val="24"/>
                <w:highlight w:val="none"/>
              </w:rPr>
              <w:t>分，每高于目标值</w:t>
            </w:r>
            <w:r>
              <w:rPr>
                <w:rFonts w:hint="eastAsia" w:ascii="Times New Roman" w:hAnsi="Times New Roman" w:eastAsia="仿宋" w:cs="Times New Roman"/>
                <w:b w:val="0"/>
                <w:bCs w:val="0"/>
                <w:color w:val="auto"/>
                <w:spacing w:val="0"/>
                <w:w w:val="100"/>
                <w:position w:val="0"/>
                <w:sz w:val="24"/>
                <w:szCs w:val="24"/>
                <w:highlight w:val="none"/>
                <w:lang w:val="en-US" w:eastAsia="en-US"/>
              </w:rPr>
              <w:t>0.5</w:t>
            </w:r>
            <w:r>
              <w:rPr>
                <w:rFonts w:hint="eastAsia" w:ascii="Times New Roman" w:hAnsi="Times New Roman" w:eastAsia="仿宋" w:cs="Times New Roman"/>
                <w:b w:val="0"/>
                <w:bCs w:val="0"/>
                <w:color w:val="auto"/>
                <w:spacing w:val="0"/>
                <w:w w:val="100"/>
                <w:position w:val="0"/>
                <w:sz w:val="24"/>
                <w:szCs w:val="24"/>
                <w:highlight w:val="none"/>
              </w:rPr>
              <w:t>个百分点，扣基本分</w:t>
            </w:r>
            <w:r>
              <w:rPr>
                <w:rFonts w:hint="eastAsia" w:ascii="Times New Roman" w:hAnsi="Times New Roman" w:eastAsia="仿宋" w:cs="Times New Roman"/>
                <w:b w:val="0"/>
                <w:bCs w:val="0"/>
                <w:color w:val="auto"/>
                <w:spacing w:val="0"/>
                <w:w w:val="100"/>
                <w:position w:val="0"/>
                <w:sz w:val="24"/>
                <w:szCs w:val="24"/>
                <w:highlight w:val="none"/>
                <w:lang w:val="en-US" w:eastAsia="en-US"/>
              </w:rPr>
              <w:t>0.5</w:t>
            </w:r>
            <w:r>
              <w:rPr>
                <w:rFonts w:hint="eastAsia" w:ascii="Times New Roman" w:hAnsi="Times New Roman" w:eastAsia="仿宋" w:cs="Times New Roman"/>
                <w:b w:val="0"/>
                <w:bCs w:val="0"/>
                <w:color w:val="auto"/>
                <w:spacing w:val="0"/>
                <w:w w:val="100"/>
                <w:position w:val="0"/>
                <w:sz w:val="24"/>
                <w:szCs w:val="24"/>
                <w:highlight w:val="none"/>
              </w:rPr>
              <w:t>分，最多扣</w:t>
            </w:r>
            <w:r>
              <w:rPr>
                <w:rFonts w:hint="eastAsia" w:ascii="Times New Roman" w:hAnsi="Times New Roman" w:eastAsia="仿宋" w:cs="Times New Roman"/>
                <w:b w:val="0"/>
                <w:bCs w:val="0"/>
                <w:color w:val="auto"/>
                <w:spacing w:val="0"/>
                <w:w w:val="100"/>
                <w:position w:val="0"/>
                <w:sz w:val="24"/>
                <w:szCs w:val="24"/>
                <w:highlight w:val="none"/>
                <w:lang w:val="en-US" w:eastAsia="zh-CN"/>
              </w:rPr>
              <w:t>28</w:t>
            </w:r>
            <w:r>
              <w:rPr>
                <w:rFonts w:hint="eastAsia" w:ascii="Times New Roman" w:hAnsi="Times New Roman" w:eastAsia="仿宋" w:cs="Times New Roman"/>
                <w:b w:val="0"/>
                <w:bCs w:val="0"/>
                <w:color w:val="auto"/>
                <w:spacing w:val="0"/>
                <w:w w:val="100"/>
                <w:position w:val="0"/>
                <w:sz w:val="24"/>
                <w:szCs w:val="24"/>
                <w:highlight w:val="none"/>
              </w:rPr>
              <w:t>分。</w:t>
            </w:r>
          </w:p>
        </w:tc>
        <w:tc>
          <w:tcPr>
            <w:tcW w:w="64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 w:val="24"/>
                <w:szCs w:val="24"/>
                <w:highlight w:val="none"/>
              </w:rPr>
            </w:pPr>
          </w:p>
        </w:tc>
      </w:tr>
      <w:tr>
        <w:tblPrEx>
          <w:tblLayout w:type="fixed"/>
          <w:tblCellMar>
            <w:top w:w="0" w:type="dxa"/>
            <w:left w:w="10" w:type="dxa"/>
            <w:bottom w:w="0" w:type="dxa"/>
            <w:right w:w="10" w:type="dxa"/>
          </w:tblCellMar>
        </w:tblPrEx>
        <w:trPr>
          <w:trHeight w:val="1536" w:hRule="exact"/>
          <w:jc w:val="center"/>
        </w:trPr>
        <w:tc>
          <w:tcPr>
            <w:tcW w:w="734" w:type="dxa"/>
            <w:tcBorders>
              <w:top w:val="single" w:color="auto" w:sz="4" w:space="0"/>
              <w:left w:val="single" w:color="auto" w:sz="4" w:space="0"/>
              <w:bottom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280"/>
              <w:jc w:val="left"/>
              <w:textAlignment w:val="auto"/>
              <w:rPr>
                <w:rFonts w:hint="eastAsia" w:ascii="Times New Roman" w:hAnsi="Times New Roman" w:eastAsia="宋体" w:cs="Times New Roman"/>
                <w:color w:val="auto"/>
                <w:spacing w:val="0"/>
                <w:w w:val="100"/>
                <w:position w:val="0"/>
                <w:sz w:val="24"/>
                <w:szCs w:val="24"/>
                <w:highlight w:val="none"/>
                <w:lang w:val="en-US" w:eastAsia="zh-CN"/>
              </w:rPr>
            </w:pPr>
            <w:r>
              <w:rPr>
                <w:rFonts w:hint="eastAsia" w:ascii="Times New Roman" w:hAnsi="Times New Roman" w:cs="Times New Roman"/>
                <w:color w:val="auto"/>
                <w:spacing w:val="0"/>
                <w:w w:val="100"/>
                <w:position w:val="0"/>
                <w:sz w:val="24"/>
                <w:szCs w:val="24"/>
                <w:highlight w:val="none"/>
                <w:lang w:val="en-US" w:eastAsia="zh-CN"/>
              </w:rPr>
              <w:t>4</w:t>
            </w:r>
          </w:p>
        </w:tc>
        <w:tc>
          <w:tcPr>
            <w:tcW w:w="1016" w:type="dxa"/>
            <w:tcBorders>
              <w:top w:val="single" w:color="auto" w:sz="4" w:space="0"/>
              <w:left w:val="single" w:color="auto" w:sz="4" w:space="0"/>
              <w:bottom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仿宋" w:hAnsi="仿宋" w:eastAsia="仿宋" w:cs="仿宋"/>
                <w:color w:val="auto"/>
                <w:spacing w:val="0"/>
                <w:w w:val="100"/>
                <w:position w:val="0"/>
                <w:sz w:val="24"/>
                <w:szCs w:val="24"/>
                <w:highlight w:val="none"/>
                <w:lang w:eastAsia="zh-CN"/>
              </w:rPr>
            </w:pPr>
            <w:r>
              <w:rPr>
                <w:rFonts w:hint="eastAsia" w:ascii="仿宋" w:hAnsi="仿宋" w:eastAsia="仿宋" w:cs="仿宋"/>
                <w:color w:val="auto"/>
                <w:spacing w:val="0"/>
                <w:w w:val="100"/>
                <w:position w:val="0"/>
                <w:sz w:val="24"/>
                <w:szCs w:val="24"/>
                <w:highlight w:val="none"/>
                <w:lang w:eastAsia="zh-CN"/>
              </w:rPr>
              <w:t>净资产</w:t>
            </w:r>
          </w:p>
        </w:tc>
        <w:tc>
          <w:tcPr>
            <w:tcW w:w="941" w:type="dxa"/>
            <w:tcBorders>
              <w:top w:val="single" w:color="auto" w:sz="4" w:space="0"/>
              <w:left w:val="single" w:color="auto" w:sz="4" w:space="0"/>
              <w:bottom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20"/>
              <w:jc w:val="left"/>
              <w:textAlignment w:val="auto"/>
              <w:rPr>
                <w:rFonts w:hint="default" w:ascii="仿宋" w:hAnsi="仿宋" w:eastAsia="仿宋" w:cs="仿宋"/>
                <w:color w:val="auto"/>
                <w:spacing w:val="0"/>
                <w:w w:val="100"/>
                <w:position w:val="0"/>
                <w:sz w:val="24"/>
                <w:szCs w:val="24"/>
                <w:highlight w:val="none"/>
                <w:lang w:val="en-US" w:eastAsia="zh-CN"/>
              </w:rPr>
            </w:pPr>
            <w:r>
              <w:rPr>
                <w:rFonts w:hint="eastAsia" w:ascii="仿宋" w:hAnsi="仿宋" w:eastAsia="仿宋" w:cs="仿宋"/>
                <w:color w:val="auto"/>
                <w:spacing w:val="0"/>
                <w:w w:val="100"/>
                <w:position w:val="0"/>
                <w:sz w:val="24"/>
                <w:szCs w:val="24"/>
                <w:highlight w:val="none"/>
                <w:lang w:val="en-US" w:eastAsia="zh-CN"/>
              </w:rPr>
              <w:t>20</w:t>
            </w:r>
          </w:p>
        </w:tc>
        <w:tc>
          <w:tcPr>
            <w:tcW w:w="790"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p>
        </w:tc>
        <w:tc>
          <w:tcPr>
            <w:tcW w:w="4598" w:type="dxa"/>
            <w:tcBorders>
              <w:top w:val="single" w:color="auto" w:sz="4" w:space="0"/>
              <w:left w:val="single" w:color="auto" w:sz="4" w:space="0"/>
              <w:bottom w:val="single" w:color="auto" w:sz="4" w:space="0"/>
            </w:tcBorders>
            <w:shd w:val="clear" w:color="auto" w:fill="FFFFFF"/>
            <w:vAlign w:val="bottom"/>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eastAsia="仿宋" w:cs="Times New Roman"/>
                <w:b w:val="0"/>
                <w:bCs w:val="0"/>
                <w:color w:val="auto"/>
                <w:spacing w:val="0"/>
                <w:w w:val="100"/>
                <w:position w:val="0"/>
                <w:sz w:val="24"/>
                <w:szCs w:val="24"/>
                <w:highlight w:val="none"/>
                <w:lang w:val="en-US" w:eastAsia="zh-CN"/>
              </w:rPr>
            </w:pPr>
            <w:r>
              <w:rPr>
                <w:rFonts w:hint="eastAsia" w:ascii="Times New Roman" w:hAnsi="Times New Roman" w:eastAsia="仿宋" w:cs="Times New Roman"/>
                <w:b w:val="0"/>
                <w:bCs w:val="0"/>
                <w:color w:val="auto"/>
                <w:spacing w:val="0"/>
                <w:w w:val="100"/>
                <w:position w:val="0"/>
                <w:sz w:val="24"/>
                <w:szCs w:val="24"/>
                <w:highlight w:val="none"/>
                <w:lang w:eastAsia="zh-CN"/>
              </w:rPr>
              <w:t>完成目标值，得基本分</w:t>
            </w:r>
            <w:r>
              <w:rPr>
                <w:rFonts w:hint="eastAsia" w:ascii="Times New Roman" w:hAnsi="Times New Roman" w:eastAsia="仿宋" w:cs="Times New Roman"/>
                <w:b w:val="0"/>
                <w:bCs w:val="0"/>
                <w:color w:val="auto"/>
                <w:spacing w:val="0"/>
                <w:w w:val="100"/>
                <w:position w:val="0"/>
                <w:sz w:val="24"/>
                <w:szCs w:val="24"/>
                <w:highlight w:val="none"/>
                <w:lang w:val="en-US" w:eastAsia="zh-CN"/>
              </w:rPr>
              <w:t>18分；每超过目标值5%，加0.5分，最多加2分；每低于目标值5%，扣基本分0.5分，最多扣18分。</w:t>
            </w:r>
          </w:p>
        </w:tc>
        <w:tc>
          <w:tcPr>
            <w:tcW w:w="64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 w:val="24"/>
                <w:szCs w:val="24"/>
                <w:highlight w:val="none"/>
              </w:rPr>
            </w:pPr>
          </w:p>
        </w:tc>
      </w:tr>
    </w:tbl>
    <w:p>
      <w:pPr>
        <w:keepNext w:val="0"/>
        <w:keepLines w:val="0"/>
        <w:pageBreakBefore w:val="0"/>
        <w:widowControl w:val="0"/>
        <w:numPr>
          <w:ilvl w:val="8"/>
          <w:numId w:val="0"/>
        </w:numPr>
        <w:shd w:val="clear" w:color="auto" w:fill="auto"/>
        <w:kinsoku/>
        <w:wordWrap/>
        <w:overflowPunct/>
        <w:topLinePunct w:val="0"/>
        <w:autoSpaceDE/>
        <w:autoSpaceDN/>
        <w:bidi w:val="0"/>
        <w:adjustRightInd/>
        <w:snapToGrid/>
        <w:spacing w:line="240" w:lineRule="auto"/>
        <w:ind w:right="0" w:rightChars="0" w:firstLine="611" w:firstLineChars="200"/>
        <w:jc w:val="both"/>
        <w:textAlignment w:val="auto"/>
        <w:rPr>
          <w:rFonts w:hint="eastAsia" w:ascii="Times New Roman" w:hAnsi="Times New Roman" w:eastAsia="仿宋" w:cs="Times New Roman"/>
          <w:color w:val="auto"/>
          <w:w w:val="95"/>
          <w:sz w:val="32"/>
          <w:szCs w:val="32"/>
          <w:highlight w:val="none"/>
          <w:lang w:val="en-US" w:eastAsia="zh-CN"/>
        </w:rPr>
      </w:pPr>
      <w:r>
        <w:rPr>
          <w:rFonts w:hint="eastAsia" w:ascii="Times New Roman" w:hAnsi="Times New Roman" w:eastAsia="仿宋" w:cs="Times New Roman"/>
          <w:b/>
          <w:bCs/>
          <w:color w:val="auto"/>
          <w:w w:val="95"/>
          <w:sz w:val="32"/>
          <w:szCs w:val="32"/>
          <w:highlight w:val="none"/>
          <w:lang w:val="en-US" w:eastAsia="zh-CN"/>
        </w:rPr>
        <w:t>2.任期内年度考核结果运用。</w:t>
      </w:r>
      <w:r>
        <w:rPr>
          <w:rFonts w:hint="eastAsia" w:ascii="Times New Roman" w:hAnsi="Times New Roman" w:eastAsia="仿宋" w:cs="Times New Roman"/>
          <w:color w:val="auto"/>
          <w:w w:val="95"/>
          <w:sz w:val="32"/>
          <w:szCs w:val="32"/>
          <w:highlight w:val="none"/>
          <w:lang w:val="en-US" w:eastAsia="zh-CN"/>
        </w:rPr>
        <w:t>以任期内3个年度经营业绩考核结果的算术平均数的30%计算得分，任期不足3年的按任期内实占年度算术平均数计算得分。</w:t>
      </w:r>
    </w:p>
    <w:p>
      <w:pPr>
        <w:keepNext w:val="0"/>
        <w:keepLines w:val="0"/>
        <w:pageBreakBefore w:val="0"/>
        <w:widowControl w:val="0"/>
        <w:numPr>
          <w:ilvl w:val="8"/>
          <w:numId w:val="0"/>
        </w:numPr>
        <w:shd w:val="clear" w:color="auto" w:fill="auto"/>
        <w:kinsoku/>
        <w:wordWrap/>
        <w:overflowPunct/>
        <w:topLinePunct w:val="0"/>
        <w:autoSpaceDE/>
        <w:autoSpaceDN/>
        <w:bidi w:val="0"/>
        <w:adjustRightInd/>
        <w:snapToGrid/>
        <w:spacing w:line="240" w:lineRule="auto"/>
        <w:ind w:right="0" w:rightChars="0" w:firstLine="608" w:firstLineChars="200"/>
        <w:jc w:val="both"/>
        <w:textAlignment w:val="auto"/>
        <w:rPr>
          <w:rFonts w:hint="eastAsia" w:ascii="楷体" w:hAnsi="楷体" w:eastAsia="楷体" w:cs="楷体"/>
          <w:color w:val="auto"/>
          <w:w w:val="95"/>
          <w:sz w:val="32"/>
          <w:szCs w:val="32"/>
          <w:highlight w:val="none"/>
          <w:lang w:val="en-US" w:eastAsia="zh-CN"/>
        </w:rPr>
      </w:pPr>
      <w:r>
        <w:rPr>
          <w:rFonts w:hint="eastAsia" w:ascii="楷体" w:hAnsi="楷体" w:eastAsia="楷体" w:cs="楷体"/>
          <w:color w:val="auto"/>
          <w:w w:val="95"/>
          <w:sz w:val="32"/>
          <w:szCs w:val="32"/>
          <w:highlight w:val="none"/>
          <w:lang w:val="en-US" w:eastAsia="zh-CN"/>
        </w:rPr>
        <w:t>（三）考核分级与结果运用</w:t>
      </w:r>
    </w:p>
    <w:p>
      <w:pPr>
        <w:keepNext w:val="0"/>
        <w:keepLines w:val="0"/>
        <w:pageBreakBefore w:val="0"/>
        <w:widowControl w:val="0"/>
        <w:numPr>
          <w:ilvl w:val="8"/>
          <w:numId w:val="0"/>
        </w:numPr>
        <w:shd w:val="clear" w:color="auto" w:fill="auto"/>
        <w:kinsoku/>
        <w:wordWrap/>
        <w:overflowPunct/>
        <w:topLinePunct w:val="0"/>
        <w:autoSpaceDE/>
        <w:autoSpaceDN/>
        <w:bidi w:val="0"/>
        <w:adjustRightInd/>
        <w:snapToGrid/>
        <w:spacing w:line="240" w:lineRule="auto"/>
        <w:ind w:right="0" w:rightChars="0" w:firstLine="584" w:firstLineChars="200"/>
        <w:jc w:val="both"/>
        <w:textAlignment w:val="auto"/>
        <w:rPr>
          <w:rFonts w:hint="eastAsia" w:ascii="Times New Roman" w:hAnsi="Times New Roman" w:eastAsia="仿宋" w:cs="Times New Roman"/>
          <w:color w:val="auto"/>
          <w:spacing w:val="-6"/>
          <w:w w:val="95"/>
          <w:sz w:val="32"/>
          <w:szCs w:val="32"/>
          <w:highlight w:val="none"/>
          <w:lang w:val="en-US" w:eastAsia="zh-CN"/>
        </w:rPr>
      </w:pPr>
      <w:r>
        <w:rPr>
          <w:rFonts w:hint="eastAsia" w:ascii="Times New Roman" w:hAnsi="Times New Roman" w:eastAsia="仿宋" w:cs="Times New Roman"/>
          <w:color w:val="auto"/>
          <w:spacing w:val="-6"/>
          <w:w w:val="95"/>
          <w:sz w:val="32"/>
          <w:szCs w:val="32"/>
          <w:highlight w:val="none"/>
          <w:lang w:val="en-US" w:eastAsia="zh-CN"/>
        </w:rPr>
        <w:t>任期经营业绩考核综合得分与考核分级、考核评价系数对应关系为：</w:t>
      </w:r>
    </w:p>
    <w:tbl>
      <w:tblPr>
        <w:tblStyle w:val="8"/>
        <w:tblW w:w="8799" w:type="dxa"/>
        <w:jc w:val="center"/>
        <w:tblInd w:w="0" w:type="dxa"/>
        <w:tblLayout w:type="fixed"/>
        <w:tblCellMar>
          <w:top w:w="0" w:type="dxa"/>
          <w:left w:w="10" w:type="dxa"/>
          <w:bottom w:w="0" w:type="dxa"/>
          <w:right w:w="10" w:type="dxa"/>
        </w:tblCellMar>
      </w:tblPr>
      <w:tblGrid>
        <w:gridCol w:w="1349"/>
        <w:gridCol w:w="1205"/>
        <w:gridCol w:w="4699"/>
        <w:gridCol w:w="1546"/>
      </w:tblGrid>
      <w:tr>
        <w:tblPrEx>
          <w:tblLayout w:type="fixed"/>
          <w:tblCellMar>
            <w:top w:w="0" w:type="dxa"/>
            <w:left w:w="10" w:type="dxa"/>
            <w:bottom w:w="0" w:type="dxa"/>
            <w:right w:w="10" w:type="dxa"/>
          </w:tblCellMar>
        </w:tblPrEx>
        <w:trPr>
          <w:trHeight w:val="955" w:hRule="exact"/>
          <w:jc w:val="center"/>
        </w:trPr>
        <w:tc>
          <w:tcPr>
            <w:tcW w:w="1349" w:type="dxa"/>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49" w:lineRule="exact"/>
              <w:ind w:left="0" w:right="0" w:firstLine="0"/>
              <w:jc w:val="both"/>
              <w:rPr>
                <w:rFonts w:hint="eastAsia" w:ascii="黑体" w:hAnsi="黑体" w:eastAsia="黑体" w:cs="黑体"/>
                <w:color w:val="auto"/>
                <w:sz w:val="24"/>
                <w:szCs w:val="24"/>
                <w:highlight w:val="none"/>
              </w:rPr>
            </w:pPr>
            <w:r>
              <w:rPr>
                <w:rFonts w:hint="eastAsia" w:ascii="仿宋" w:hAnsi="仿宋" w:eastAsia="仿宋" w:cs="仿宋"/>
                <w:color w:val="auto"/>
                <w:spacing w:val="0"/>
                <w:w w:val="100"/>
                <w:position w:val="0"/>
                <w:sz w:val="24"/>
                <w:szCs w:val="24"/>
                <w:highlight w:val="none"/>
              </w:rPr>
              <w:t>任期综合考核评级及评价系数确定</w:t>
            </w:r>
          </w:p>
        </w:tc>
        <w:tc>
          <w:tcPr>
            <w:tcW w:w="1205"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考核分级</w:t>
            </w:r>
          </w:p>
        </w:tc>
        <w:tc>
          <w:tcPr>
            <w:tcW w:w="4699"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任期综合考核评价得分</w:t>
            </w:r>
          </w:p>
        </w:tc>
        <w:tc>
          <w:tcPr>
            <w:tcW w:w="1546" w:type="dxa"/>
            <w:tcBorders>
              <w:top w:val="single" w:color="auto" w:sz="4" w:space="0"/>
              <w:left w:val="single" w:color="auto" w:sz="4" w:space="0"/>
              <w:right w:val="single" w:color="auto" w:sz="4" w:space="0"/>
            </w:tcBorders>
            <w:shd w:val="clear" w:color="auto" w:fill="FFFFFF"/>
            <w:vAlign w:val="bottom"/>
          </w:tcPr>
          <w:p>
            <w:pPr>
              <w:pStyle w:val="14"/>
              <w:keepNext w:val="0"/>
              <w:keepLines w:val="0"/>
              <w:widowControl w:val="0"/>
              <w:shd w:val="clear" w:color="auto" w:fill="auto"/>
              <w:bidi w:val="0"/>
              <w:spacing w:before="0" w:after="0" w:line="312" w:lineRule="exact"/>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color w:val="auto"/>
                <w:spacing w:val="0"/>
                <w:w w:val="100"/>
                <w:position w:val="0"/>
                <w:sz w:val="24"/>
                <w:szCs w:val="24"/>
                <w:highlight w:val="none"/>
              </w:rPr>
              <w:t>对应任期综合考核评价系数</w:t>
            </w:r>
          </w:p>
        </w:tc>
      </w:tr>
      <w:tr>
        <w:tblPrEx>
          <w:tblLayout w:type="fixed"/>
          <w:tblCellMar>
            <w:top w:w="0" w:type="dxa"/>
            <w:left w:w="10" w:type="dxa"/>
            <w:bottom w:w="0" w:type="dxa"/>
            <w:right w:w="10" w:type="dxa"/>
          </w:tblCellMar>
        </w:tblPrEx>
        <w:trPr>
          <w:trHeight w:val="1373" w:hRule="exact"/>
          <w:jc w:val="center"/>
        </w:trPr>
        <w:tc>
          <w:tcPr>
            <w:tcW w:w="1349" w:type="dxa"/>
            <w:vMerge w:val="continue"/>
            <w:tcBorders>
              <w:left w:val="single" w:color="auto" w:sz="4" w:space="0"/>
            </w:tcBorders>
            <w:shd w:val="clear" w:color="auto" w:fill="FFFFFF"/>
            <w:vAlign w:val="center"/>
          </w:tcPr>
          <w:p>
            <w:pPr>
              <w:rPr>
                <w:color w:val="auto"/>
                <w:sz w:val="24"/>
                <w:szCs w:val="24"/>
                <w:highlight w:val="none"/>
              </w:rPr>
            </w:pPr>
          </w:p>
        </w:tc>
        <w:tc>
          <w:tcPr>
            <w:tcW w:w="1205"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09" w:lineRule="exact"/>
              <w:ind w:left="0" w:right="0" w:firstLine="0"/>
              <w:jc w:val="center"/>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lang w:val="en-US" w:eastAsia="en-US"/>
              </w:rPr>
              <w:t>A</w:t>
            </w:r>
            <w:r>
              <w:rPr>
                <w:rFonts w:hint="eastAsia" w:ascii="Times New Roman" w:hAnsi="Times New Roman" w:eastAsia="仿宋" w:cs="Times New Roman"/>
                <w:color w:val="auto"/>
                <w:spacing w:val="0"/>
                <w:w w:val="100"/>
                <w:position w:val="0"/>
                <w:sz w:val="24"/>
                <w:szCs w:val="24"/>
                <w:highlight w:val="none"/>
              </w:rPr>
              <w:t>级</w:t>
            </w:r>
          </w:p>
        </w:tc>
        <w:tc>
          <w:tcPr>
            <w:tcW w:w="4699" w:type="dxa"/>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309" w:lineRule="exact"/>
              <w:ind w:left="0" w:right="0" w:firstLine="0"/>
              <w:jc w:val="both"/>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lang w:val="en-US" w:eastAsia="zh-CN"/>
              </w:rPr>
              <w:t>Z</w:t>
            </w:r>
            <w:r>
              <w:rPr>
                <w:rFonts w:hint="default" w:ascii="Arial" w:hAnsi="Arial" w:eastAsia="宋体" w:cs="Arial"/>
                <w:color w:val="auto"/>
                <w:spacing w:val="0"/>
                <w:w w:val="100"/>
                <w:position w:val="0"/>
                <w:sz w:val="24"/>
                <w:szCs w:val="24"/>
                <w:highlight w:val="none"/>
                <w:lang w:val="en-US" w:eastAsia="zh-CN"/>
              </w:rPr>
              <w:t>≥</w:t>
            </w:r>
            <w:r>
              <w:rPr>
                <w:rFonts w:hint="default" w:ascii="Times New Roman" w:hAnsi="Times New Roman" w:eastAsia="仿宋" w:cs="Times New Roman"/>
                <w:color w:val="auto"/>
                <w:spacing w:val="0"/>
                <w:w w:val="100"/>
                <w:position w:val="0"/>
                <w:sz w:val="24"/>
                <w:szCs w:val="24"/>
                <w:highlight w:val="none"/>
              </w:rPr>
              <w:t>90</w:t>
            </w:r>
            <w:r>
              <w:rPr>
                <w:rFonts w:hint="eastAsia" w:ascii="Times New Roman" w:hAnsi="Times New Roman" w:eastAsia="仿宋" w:cs="Times New Roman"/>
                <w:color w:val="auto"/>
                <w:spacing w:val="0"/>
                <w:w w:val="100"/>
                <w:position w:val="0"/>
                <w:sz w:val="24"/>
                <w:szCs w:val="24"/>
                <w:highlight w:val="none"/>
              </w:rPr>
              <w:t>分，且经营现金流量为正，任期内各年度党委书记抓基层党建述职评议考核综合评价意见和党风廉政建设考核结果为“较好”或“合格”及以上等次</w:t>
            </w:r>
          </w:p>
        </w:tc>
        <w:tc>
          <w:tcPr>
            <w:tcW w:w="1546" w:type="dxa"/>
            <w:tcBorders>
              <w:top w:val="single" w:color="auto" w:sz="4" w:space="0"/>
              <w:left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309" w:lineRule="exact"/>
              <w:ind w:left="0" w:right="0" w:firstLine="0"/>
              <w:jc w:val="center"/>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rPr>
              <w:t>1</w:t>
            </w:r>
          </w:p>
        </w:tc>
      </w:tr>
      <w:tr>
        <w:tblPrEx>
          <w:tblLayout w:type="fixed"/>
          <w:tblCellMar>
            <w:top w:w="0" w:type="dxa"/>
            <w:left w:w="10" w:type="dxa"/>
            <w:bottom w:w="0" w:type="dxa"/>
            <w:right w:w="10" w:type="dxa"/>
          </w:tblCellMar>
        </w:tblPrEx>
        <w:trPr>
          <w:trHeight w:val="1368" w:hRule="exact"/>
          <w:jc w:val="center"/>
        </w:trPr>
        <w:tc>
          <w:tcPr>
            <w:tcW w:w="1349" w:type="dxa"/>
            <w:vMerge w:val="continue"/>
            <w:tcBorders>
              <w:left w:val="single" w:color="auto" w:sz="4" w:space="0"/>
            </w:tcBorders>
            <w:shd w:val="clear" w:color="auto" w:fill="FFFFFF"/>
            <w:vAlign w:val="center"/>
          </w:tcPr>
          <w:p>
            <w:pPr>
              <w:rPr>
                <w:color w:val="auto"/>
                <w:sz w:val="24"/>
                <w:szCs w:val="24"/>
                <w:highlight w:val="none"/>
              </w:rPr>
            </w:pPr>
          </w:p>
        </w:tc>
        <w:tc>
          <w:tcPr>
            <w:tcW w:w="1205"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09" w:lineRule="exact"/>
              <w:ind w:left="0" w:right="0" w:firstLine="0"/>
              <w:jc w:val="center"/>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lang w:val="en-US" w:eastAsia="en-US"/>
              </w:rPr>
              <w:t>B</w:t>
            </w:r>
            <w:r>
              <w:rPr>
                <w:rFonts w:hint="eastAsia" w:ascii="Times New Roman" w:hAnsi="Times New Roman" w:eastAsia="仿宋" w:cs="Times New Roman"/>
                <w:color w:val="auto"/>
                <w:spacing w:val="0"/>
                <w:w w:val="100"/>
                <w:position w:val="0"/>
                <w:sz w:val="24"/>
                <w:szCs w:val="24"/>
                <w:highlight w:val="none"/>
              </w:rPr>
              <w:t>级</w:t>
            </w:r>
          </w:p>
        </w:tc>
        <w:tc>
          <w:tcPr>
            <w:tcW w:w="4699" w:type="dxa"/>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309" w:lineRule="exact"/>
              <w:ind w:left="0" w:right="0" w:firstLine="0"/>
              <w:jc w:val="both"/>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lang w:val="en-US" w:eastAsia="zh-CN"/>
              </w:rPr>
              <w:t>80</w:t>
            </w:r>
            <w:r>
              <w:rPr>
                <w:rFonts w:hint="eastAsia" w:ascii="Times New Roman" w:hAnsi="Times New Roman" w:eastAsia="仿宋" w:cs="Times New Roman"/>
                <w:color w:val="auto"/>
                <w:spacing w:val="0"/>
                <w:w w:val="100"/>
                <w:position w:val="0"/>
                <w:sz w:val="24"/>
                <w:szCs w:val="24"/>
                <w:highlight w:val="none"/>
              </w:rPr>
              <w:t>分</w:t>
            </w:r>
            <w:r>
              <w:rPr>
                <w:rFonts w:hint="default" w:ascii="Arial" w:hAnsi="Arial" w:eastAsia="仿宋" w:cs="Arial"/>
                <w:color w:val="auto"/>
                <w:spacing w:val="0"/>
                <w:w w:val="100"/>
                <w:position w:val="0"/>
                <w:sz w:val="24"/>
                <w:szCs w:val="24"/>
                <w:highlight w:val="none"/>
                <w:lang w:val="en-US" w:eastAsia="en-US"/>
              </w:rPr>
              <w:t>≤</w:t>
            </w:r>
            <w:r>
              <w:rPr>
                <w:rFonts w:hint="eastAsia" w:ascii="Times New Roman" w:hAnsi="Times New Roman" w:eastAsia="仿宋" w:cs="Times New Roman"/>
                <w:color w:val="auto"/>
                <w:spacing w:val="0"/>
                <w:w w:val="100"/>
                <w:position w:val="0"/>
                <w:sz w:val="24"/>
                <w:szCs w:val="24"/>
                <w:highlight w:val="none"/>
                <w:lang w:val="en-US" w:eastAsia="en-US"/>
              </w:rPr>
              <w:t>Z</w:t>
            </w:r>
            <w:r>
              <w:rPr>
                <w:rFonts w:hint="eastAsia" w:ascii="Times New Roman" w:hAnsi="Times New Roman" w:eastAsia="仿宋" w:cs="Times New Roman"/>
                <w:color w:val="auto"/>
                <w:spacing w:val="0"/>
                <w:w w:val="100"/>
                <w:position w:val="0"/>
                <w:sz w:val="24"/>
                <w:szCs w:val="24"/>
                <w:highlight w:val="none"/>
                <w:lang w:val="en-US" w:eastAsia="zh-CN"/>
              </w:rPr>
              <w:t>&lt;</w:t>
            </w:r>
            <w:r>
              <w:rPr>
                <w:rFonts w:hint="eastAsia" w:ascii="Times New Roman" w:hAnsi="Times New Roman" w:eastAsia="仿宋" w:cs="Times New Roman"/>
                <w:color w:val="auto"/>
                <w:spacing w:val="0"/>
                <w:w w:val="100"/>
                <w:position w:val="0"/>
                <w:sz w:val="24"/>
                <w:szCs w:val="24"/>
                <w:highlight w:val="none"/>
                <w:lang w:val="en-US" w:eastAsia="en-US"/>
              </w:rPr>
              <w:t>90</w:t>
            </w:r>
            <w:r>
              <w:rPr>
                <w:rFonts w:hint="eastAsia" w:ascii="Times New Roman" w:hAnsi="Times New Roman" w:eastAsia="仿宋" w:cs="Times New Roman"/>
                <w:color w:val="auto"/>
                <w:spacing w:val="0"/>
                <w:w w:val="100"/>
                <w:position w:val="0"/>
                <w:sz w:val="24"/>
                <w:szCs w:val="24"/>
                <w:highlight w:val="none"/>
              </w:rPr>
              <w:t>分，且任期内各年度党委书记抓基层党建述职评议考核综合评价意见和党风廉政建设考核结果为“较好”或“合格”及以上等次</w:t>
            </w:r>
          </w:p>
        </w:tc>
        <w:tc>
          <w:tcPr>
            <w:tcW w:w="1546" w:type="dxa"/>
            <w:tcBorders>
              <w:top w:val="single" w:color="auto" w:sz="4" w:space="0"/>
              <w:left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309" w:lineRule="exact"/>
              <w:ind w:left="0" w:right="0" w:firstLine="0"/>
              <w:jc w:val="center"/>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lang w:val="en-US" w:eastAsia="en-US"/>
              </w:rPr>
              <w:t>0.9</w:t>
            </w:r>
          </w:p>
        </w:tc>
      </w:tr>
      <w:tr>
        <w:tblPrEx>
          <w:tblLayout w:type="fixed"/>
          <w:tblCellMar>
            <w:top w:w="0" w:type="dxa"/>
            <w:left w:w="10" w:type="dxa"/>
            <w:bottom w:w="0" w:type="dxa"/>
            <w:right w:w="10" w:type="dxa"/>
          </w:tblCellMar>
        </w:tblPrEx>
        <w:trPr>
          <w:trHeight w:val="840" w:hRule="exact"/>
          <w:jc w:val="center"/>
        </w:trPr>
        <w:tc>
          <w:tcPr>
            <w:tcW w:w="1349" w:type="dxa"/>
            <w:vMerge w:val="continue"/>
            <w:tcBorders>
              <w:left w:val="single" w:color="auto" w:sz="4" w:space="0"/>
            </w:tcBorders>
            <w:shd w:val="clear" w:color="auto" w:fill="FFFFFF"/>
            <w:vAlign w:val="center"/>
          </w:tcPr>
          <w:p>
            <w:pPr>
              <w:rPr>
                <w:color w:val="auto"/>
                <w:sz w:val="24"/>
                <w:szCs w:val="24"/>
                <w:highlight w:val="none"/>
              </w:rPr>
            </w:pPr>
          </w:p>
        </w:tc>
        <w:tc>
          <w:tcPr>
            <w:tcW w:w="1205"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09" w:lineRule="exact"/>
              <w:ind w:left="0" w:right="0" w:firstLine="0"/>
              <w:jc w:val="center"/>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lang w:val="en-US" w:eastAsia="en-US"/>
              </w:rPr>
              <w:t>C</w:t>
            </w:r>
            <w:r>
              <w:rPr>
                <w:rFonts w:hint="eastAsia" w:ascii="Times New Roman" w:hAnsi="Times New Roman" w:eastAsia="仿宋" w:cs="Times New Roman"/>
                <w:color w:val="auto"/>
                <w:spacing w:val="0"/>
                <w:w w:val="100"/>
                <w:position w:val="0"/>
                <w:sz w:val="24"/>
                <w:szCs w:val="24"/>
                <w:highlight w:val="none"/>
              </w:rPr>
              <w:t>级</w:t>
            </w:r>
          </w:p>
        </w:tc>
        <w:tc>
          <w:tcPr>
            <w:tcW w:w="4699"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09" w:lineRule="exact"/>
              <w:ind w:left="0" w:right="0" w:firstLine="0"/>
              <w:jc w:val="both"/>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rPr>
              <w:t>60分</w:t>
            </w:r>
            <w:r>
              <w:rPr>
                <w:rFonts w:hint="default" w:ascii="Arial" w:hAnsi="Arial" w:eastAsia="仿宋" w:cs="Arial"/>
                <w:color w:val="auto"/>
                <w:spacing w:val="0"/>
                <w:w w:val="100"/>
                <w:position w:val="0"/>
                <w:sz w:val="24"/>
                <w:szCs w:val="24"/>
                <w:highlight w:val="none"/>
                <w:lang w:val="en-US" w:eastAsia="en-US"/>
              </w:rPr>
              <w:t>≤</w:t>
            </w:r>
            <w:r>
              <w:rPr>
                <w:rFonts w:hint="eastAsia" w:ascii="Times New Roman" w:hAnsi="Times New Roman" w:eastAsia="仿宋" w:cs="Times New Roman"/>
                <w:color w:val="auto"/>
                <w:spacing w:val="0"/>
                <w:w w:val="100"/>
                <w:position w:val="0"/>
                <w:sz w:val="24"/>
                <w:szCs w:val="24"/>
                <w:highlight w:val="none"/>
                <w:lang w:val="en-US" w:eastAsia="en-US"/>
              </w:rPr>
              <w:t>Z</w:t>
            </w:r>
            <w:r>
              <w:rPr>
                <w:rFonts w:hint="eastAsia" w:ascii="Times New Roman" w:hAnsi="Times New Roman" w:eastAsia="仿宋" w:cs="Times New Roman"/>
                <w:color w:val="auto"/>
                <w:spacing w:val="0"/>
                <w:w w:val="100"/>
                <w:position w:val="0"/>
                <w:sz w:val="24"/>
                <w:szCs w:val="24"/>
                <w:highlight w:val="none"/>
                <w:lang w:val="en-US" w:eastAsia="zh-CN"/>
              </w:rPr>
              <w:t>&lt;80</w:t>
            </w:r>
            <w:r>
              <w:rPr>
                <w:rFonts w:hint="eastAsia" w:ascii="Times New Roman" w:hAnsi="Times New Roman" w:eastAsia="仿宋" w:cs="Times New Roman"/>
                <w:color w:val="auto"/>
                <w:spacing w:val="0"/>
                <w:w w:val="100"/>
                <w:position w:val="0"/>
                <w:sz w:val="24"/>
                <w:szCs w:val="24"/>
                <w:highlight w:val="none"/>
              </w:rPr>
              <w:t>分</w:t>
            </w:r>
          </w:p>
        </w:tc>
        <w:tc>
          <w:tcPr>
            <w:tcW w:w="1546" w:type="dxa"/>
            <w:tcBorders>
              <w:top w:val="single" w:color="auto" w:sz="4" w:space="0"/>
              <w:left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309" w:lineRule="exact"/>
              <w:ind w:left="0" w:right="0" w:firstLine="0"/>
              <w:jc w:val="center"/>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lang w:val="en-US" w:eastAsia="en-US"/>
              </w:rPr>
              <w:t>0.8</w:t>
            </w:r>
          </w:p>
        </w:tc>
      </w:tr>
      <w:tr>
        <w:tblPrEx>
          <w:tblLayout w:type="fixed"/>
          <w:tblCellMar>
            <w:top w:w="0" w:type="dxa"/>
            <w:left w:w="10" w:type="dxa"/>
            <w:bottom w:w="0" w:type="dxa"/>
            <w:right w:w="10" w:type="dxa"/>
          </w:tblCellMar>
        </w:tblPrEx>
        <w:trPr>
          <w:trHeight w:val="946" w:hRule="exact"/>
          <w:jc w:val="center"/>
        </w:trPr>
        <w:tc>
          <w:tcPr>
            <w:tcW w:w="1349" w:type="dxa"/>
            <w:vMerge w:val="continue"/>
            <w:tcBorders>
              <w:left w:val="single" w:color="auto" w:sz="4" w:space="0"/>
              <w:bottom w:val="single" w:color="auto" w:sz="4" w:space="0"/>
            </w:tcBorders>
            <w:shd w:val="clear" w:color="auto" w:fill="FFFFFF"/>
            <w:vAlign w:val="center"/>
          </w:tcPr>
          <w:p>
            <w:pPr>
              <w:rPr>
                <w:color w:val="auto"/>
                <w:sz w:val="24"/>
                <w:szCs w:val="24"/>
                <w:highlight w:val="none"/>
              </w:rPr>
            </w:pPr>
          </w:p>
        </w:tc>
        <w:tc>
          <w:tcPr>
            <w:tcW w:w="1205"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309" w:lineRule="exact"/>
              <w:ind w:left="0" w:right="0" w:firstLine="0"/>
              <w:jc w:val="center"/>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lang w:val="en-US" w:eastAsia="en-US"/>
              </w:rPr>
              <w:t>D</w:t>
            </w:r>
            <w:r>
              <w:rPr>
                <w:rFonts w:hint="eastAsia" w:ascii="Times New Roman" w:hAnsi="Times New Roman" w:eastAsia="仿宋" w:cs="Times New Roman"/>
                <w:color w:val="auto"/>
                <w:spacing w:val="0"/>
                <w:w w:val="100"/>
                <w:position w:val="0"/>
                <w:sz w:val="24"/>
                <w:szCs w:val="24"/>
                <w:highlight w:val="none"/>
              </w:rPr>
              <w:t>级</w:t>
            </w:r>
          </w:p>
        </w:tc>
        <w:tc>
          <w:tcPr>
            <w:tcW w:w="4699"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309" w:lineRule="exact"/>
              <w:ind w:left="0" w:right="0" w:firstLine="0"/>
              <w:jc w:val="both"/>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lang w:val="en-US" w:eastAsia="en-US"/>
              </w:rPr>
              <w:t>Z&lt;60</w:t>
            </w:r>
            <w:r>
              <w:rPr>
                <w:rFonts w:hint="eastAsia" w:ascii="Times New Roman" w:hAnsi="Times New Roman" w:eastAsia="仿宋" w:cs="Times New Roman"/>
                <w:color w:val="auto"/>
                <w:spacing w:val="0"/>
                <w:w w:val="100"/>
                <w:position w:val="0"/>
                <w:sz w:val="24"/>
                <w:szCs w:val="24"/>
                <w:highlight w:val="none"/>
              </w:rPr>
              <w:t>分</w:t>
            </w:r>
          </w:p>
        </w:tc>
        <w:tc>
          <w:tcPr>
            <w:tcW w:w="15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309" w:lineRule="exact"/>
              <w:ind w:left="0" w:right="0" w:firstLine="0"/>
              <w:jc w:val="center"/>
              <w:rPr>
                <w:rFonts w:hint="eastAsia" w:ascii="Times New Roman" w:hAnsi="Times New Roman" w:eastAsia="仿宋" w:cs="Times New Roman"/>
                <w:color w:val="auto"/>
                <w:spacing w:val="0"/>
                <w:w w:val="100"/>
                <w:position w:val="0"/>
                <w:sz w:val="24"/>
                <w:szCs w:val="24"/>
                <w:highlight w:val="none"/>
              </w:rPr>
            </w:pPr>
            <w:r>
              <w:rPr>
                <w:rFonts w:hint="eastAsia" w:ascii="Times New Roman" w:hAnsi="Times New Roman" w:eastAsia="仿宋" w:cs="Times New Roman"/>
                <w:color w:val="auto"/>
                <w:spacing w:val="0"/>
                <w:w w:val="100"/>
                <w:position w:val="0"/>
                <w:sz w:val="24"/>
                <w:szCs w:val="24"/>
                <w:highlight w:val="none"/>
              </w:rPr>
              <w:t>在</w:t>
            </w:r>
            <w:r>
              <w:rPr>
                <w:rFonts w:hint="eastAsia" w:ascii="Times New Roman" w:hAnsi="Times New Roman" w:eastAsia="仿宋" w:cs="Times New Roman"/>
                <w:color w:val="auto"/>
                <w:spacing w:val="0"/>
                <w:w w:val="100"/>
                <w:position w:val="0"/>
                <w:sz w:val="24"/>
                <w:szCs w:val="24"/>
                <w:highlight w:val="none"/>
                <w:lang w:val="en-US" w:eastAsia="en-US"/>
              </w:rPr>
              <w:t>0—0.7</w:t>
            </w:r>
            <w:r>
              <w:rPr>
                <w:rFonts w:hint="eastAsia" w:ascii="Times New Roman" w:hAnsi="Times New Roman" w:eastAsia="仿宋" w:cs="Times New Roman"/>
                <w:color w:val="auto"/>
                <w:spacing w:val="0"/>
                <w:w w:val="100"/>
                <w:position w:val="0"/>
                <w:sz w:val="24"/>
                <w:szCs w:val="24"/>
                <w:highlight w:val="none"/>
              </w:rPr>
              <w:t>之间确定</w:t>
            </w:r>
          </w:p>
        </w:tc>
      </w:tr>
    </w:tbl>
    <w:p>
      <w:pPr>
        <w:keepNext w:val="0"/>
        <w:keepLines w:val="0"/>
        <w:pageBreakBefore w:val="0"/>
        <w:widowControl w:val="0"/>
        <w:numPr>
          <w:ilvl w:val="8"/>
          <w:numId w:val="0"/>
        </w:numPr>
        <w:shd w:val="clear" w:color="auto" w:fill="auto"/>
        <w:kinsoku/>
        <w:wordWrap/>
        <w:overflowPunct/>
        <w:topLinePunct w:val="0"/>
        <w:autoSpaceDE/>
        <w:autoSpaceDN/>
        <w:bidi w:val="0"/>
        <w:adjustRightInd/>
        <w:snapToGrid/>
        <w:spacing w:line="240" w:lineRule="auto"/>
        <w:ind w:right="0" w:rightChars="0" w:firstLine="608" w:firstLineChars="200"/>
        <w:jc w:val="both"/>
        <w:textAlignment w:val="auto"/>
        <w:rPr>
          <w:rFonts w:hint="eastAsia" w:ascii="Times New Roman" w:hAnsi="Times New Roman" w:eastAsia="仿宋" w:cs="Times New Roman"/>
          <w:color w:val="auto"/>
          <w:w w:val="95"/>
          <w:sz w:val="32"/>
          <w:szCs w:val="32"/>
          <w:highlight w:val="none"/>
          <w:lang w:val="en-US" w:eastAsia="zh-CN"/>
        </w:rPr>
      </w:pPr>
    </w:p>
    <w:p>
      <w:pPr>
        <w:pStyle w:val="5"/>
        <w:rPr>
          <w:rFonts w:hint="eastAsia" w:ascii="Times New Roman" w:hAnsi="Times New Roman" w:eastAsia="仿宋" w:cs="Times New Roman"/>
          <w:color w:val="auto"/>
          <w:w w:val="95"/>
          <w:sz w:val="32"/>
          <w:szCs w:val="32"/>
          <w:highlight w:val="none"/>
          <w:lang w:val="en-US" w:eastAsia="zh-CN"/>
        </w:rPr>
      </w:pPr>
    </w:p>
    <w:p>
      <w:pPr>
        <w:rPr>
          <w:rFonts w:hint="eastAsia" w:ascii="Times New Roman" w:hAnsi="Times New Roman" w:eastAsia="仿宋" w:cs="Times New Roman"/>
          <w:color w:val="auto"/>
          <w:w w:val="95"/>
          <w:sz w:val="32"/>
          <w:szCs w:val="32"/>
          <w:highlight w:val="none"/>
          <w:lang w:val="en-US" w:eastAsia="zh-CN"/>
        </w:rPr>
      </w:pPr>
    </w:p>
    <w:p>
      <w:pPr>
        <w:keepNext w:val="0"/>
        <w:keepLines w:val="0"/>
        <w:shd w:val="clear"/>
        <w:bidi w:val="0"/>
        <w:spacing w:before="0" w:after="0" w:line="240" w:lineRule="auto"/>
        <w:ind w:left="0" w:right="0" w:firstLine="0"/>
        <w:jc w:val="both"/>
        <w:rPr>
          <w:rFonts w:hint="eastAsia" w:ascii="Times New Roman" w:hAnsi="Times New Roman" w:eastAsia="宋体" w:cs="Times New Roman"/>
          <w:spacing w:val="0"/>
          <w:w w:val="100"/>
          <w:kern w:val="2"/>
          <w:position w:val="0"/>
          <w:sz w:val="21"/>
          <w:shd w:val="clear"/>
          <w:lang w:val="en-US" w:eastAsia="zh-CN" w:bidi="ar-SA"/>
        </w:rPr>
      </w:pPr>
    </w:p>
    <w:p>
      <w:pPr>
        <w:pStyle w:val="2"/>
        <w:rPr>
          <w:rFonts w:hint="eastAsia"/>
          <w:lang w:val="en-US" w:eastAsia="zh-CN"/>
        </w:rPr>
      </w:pPr>
    </w:p>
    <w:p>
      <w:pPr>
        <w:keepNext w:val="0"/>
        <w:keepLines w:val="0"/>
        <w:shd w:val="clear"/>
        <w:bidi w:val="0"/>
        <w:spacing w:before="0" w:after="0" w:line="240" w:lineRule="auto"/>
        <w:ind w:left="0" w:right="0" w:firstLine="0"/>
        <w:jc w:val="both"/>
        <w:rPr>
          <w:rFonts w:hint="default" w:ascii="Times New Roman" w:hAnsi="Times New Roman" w:eastAsia="宋体" w:cs="Times New Roman"/>
          <w:spacing w:val="0"/>
          <w:w w:val="100"/>
          <w:kern w:val="2"/>
          <w:position w:val="0"/>
          <w:sz w:val="21"/>
          <w:shd w:val="clear"/>
          <w:lang w:val="en-US" w:eastAsia="zh-CN" w:bidi="ar-SA"/>
        </w:rPr>
      </w:pPr>
    </w:p>
    <w:p>
      <w:pPr>
        <w:keepNext w:val="0"/>
        <w:keepLines w:val="0"/>
        <w:pageBreakBefore w:val="0"/>
        <w:widowControl/>
        <w:shd w:val="clear"/>
        <w:kinsoku/>
        <w:wordWrap/>
        <w:overflowPunct w:val="0"/>
        <w:topLinePunct w:val="0"/>
        <w:autoSpaceDE/>
        <w:autoSpaceDN/>
        <w:bidi w:val="0"/>
        <w:adjustRightInd/>
        <w:snapToGrid/>
        <w:spacing w:before="0" w:after="0" w:line="240" w:lineRule="exact"/>
        <w:ind w:left="0" w:right="0" w:firstLine="640" w:firstLineChars="200"/>
        <w:jc w:val="both"/>
        <w:textAlignment w:val="auto"/>
        <w:rPr>
          <w:rFonts w:ascii="Times New Roman" w:hAnsi="Times New Roman" w:eastAsia="方正黑体_GBK" w:cs="Times New Roman"/>
          <w:color w:val="000000"/>
          <w:spacing w:val="0"/>
          <w:w w:val="100"/>
          <w:kern w:val="2"/>
          <w:position w:val="0"/>
          <w:sz w:val="32"/>
          <w:szCs w:val="32"/>
          <w:shd w:val="clear"/>
          <w:lang w:eastAsia="zh-CN" w:bidi="ar-SA"/>
        </w:rPr>
      </w:pPr>
    </w:p>
    <w:p>
      <w:pPr>
        <w:keepNext/>
        <w:keepLines/>
        <w:pageBreakBefore w:val="0"/>
        <w:widowControl/>
        <w:kinsoku/>
        <w:wordWrap/>
        <w:topLinePunct w:val="0"/>
        <w:autoSpaceDE/>
        <w:autoSpaceDN/>
        <w:bidi w:val="0"/>
        <w:adjustRightInd/>
        <w:snapToGrid/>
        <w:spacing w:line="240" w:lineRule="exact"/>
        <w:ind w:firstLine="640"/>
        <w:jc w:val="both"/>
        <w:textAlignment w:val="auto"/>
        <w:outlineLvl w:val="1"/>
        <w:rPr>
          <w:rFonts w:ascii="Times New Roman" w:hAnsi="Times New Roman" w:eastAsia="黑体" w:cs="Times New Roman"/>
          <w:kern w:val="2"/>
          <w:sz w:val="21"/>
          <w:szCs w:val="24"/>
          <w:lang w:val="en-US" w:eastAsia="zh-CN" w:bidi="ar-SA"/>
        </w:rPr>
      </w:pPr>
    </w:p>
    <w:p>
      <w:pPr>
        <w:keepNext w:val="0"/>
        <w:keepLines w:val="0"/>
        <w:pageBreakBefore w:val="0"/>
        <w:widowControl w:val="0"/>
        <w:shd w:val="clear"/>
        <w:kinsoku/>
        <w:wordWrap/>
        <w:overflowPunct w:val="0"/>
        <w:topLinePunct w:val="0"/>
        <w:autoSpaceDE/>
        <w:autoSpaceDN/>
        <w:bidi w:val="0"/>
        <w:adjustRightInd/>
        <w:snapToGrid/>
        <w:spacing w:before="0" w:after="0" w:line="480" w:lineRule="exact"/>
        <w:ind w:left="0" w:right="0" w:firstLine="280" w:firstLineChars="100"/>
        <w:jc w:val="both"/>
        <w:textAlignment w:val="auto"/>
        <w:rPr>
          <w:rFonts w:ascii="Times New Roman" w:hAnsi="Times New Roman" w:eastAsia="方正仿宋_GBK" w:cs="Times New Roman"/>
          <w:color w:val="000000"/>
          <w:spacing w:val="0"/>
          <w:w w:val="100"/>
          <w:kern w:val="2"/>
          <w:position w:val="0"/>
          <w:sz w:val="28"/>
          <w:szCs w:val="28"/>
          <w:shd w:val="clear"/>
          <w:lang w:eastAsia="zh-CN" w:bidi="ar-SA"/>
        </w:rPr>
      </w:pPr>
      <w:r>
        <w:rPr>
          <w:rFonts w:ascii="Times New Roman" w:hAnsi="Times New Roman" w:eastAsia="方正仿宋_GBK" w:cs="Times New Roman"/>
          <w:color w:val="000000"/>
          <w:spacing w:val="0"/>
          <w:w w:val="100"/>
          <w:kern w:val="2"/>
          <w:position w:val="0"/>
          <w:sz w:val="28"/>
          <w:szCs w:val="28"/>
          <w:shd w:val="clear"/>
          <w:lang w:eastAsia="zh-CN" w:bidi="ar-SA"/>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15240</wp:posOffset>
                </wp:positionV>
                <wp:extent cx="55880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880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2pt;height:0pt;width:440pt;z-index:251664384;mso-width-relative:page;mso-height-relative:page;" filled="f" stroked="t" coordsize="21600,21600" o:gfxdata="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XAtaO0wAAAAQBAAAPAAAAAAAAAAEA&#10;IAAAACIAAABkcnMvZG93bnJldi54bWxQSwECFAAUAAAACACHTuJACzqEctsBAACXAwAADgAAAAAA&#10;AAABACAAAAAiAQAAZHJzL2Uyb0RvYy54bWxQSwUGAAAAAAYABgBZAQAAbwUAAAAA&#10;">
                <v:fill on="f" focussize="0,0"/>
                <v:stroke weight="1.25pt" color="#000000" joinstyle="round"/>
                <v:imagedata o:title=""/>
                <o:lock v:ext="edit" aspectratio="f"/>
              </v:line>
            </w:pict>
          </mc:Fallback>
        </mc:AlternateContent>
      </w:r>
      <w:r>
        <w:rPr>
          <w:rFonts w:ascii="Times New Roman" w:hAnsi="Times New Roman" w:eastAsia="方正仿宋_GBK" w:cs="Times New Roman"/>
          <w:color w:val="000000"/>
          <w:spacing w:val="0"/>
          <w:w w:val="100"/>
          <w:kern w:val="2"/>
          <w:position w:val="0"/>
          <w:sz w:val="28"/>
          <w:szCs w:val="28"/>
          <w:shd w:val="clear"/>
          <w:lang w:eastAsia="zh-CN" w:bidi="ar-SA"/>
        </w:rPr>
        <w:t>抄送：区委办公室，区人大常委会办公室，区政协办公室。</w:t>
      </w:r>
    </w:p>
    <w:p>
      <w:pPr>
        <w:keepNext w:val="0"/>
        <w:keepLines w:val="0"/>
        <w:pageBreakBefore w:val="0"/>
        <w:widowControl w:val="0"/>
        <w:shd w:val="clear"/>
        <w:kinsoku/>
        <w:wordWrap/>
        <w:overflowPunct w:val="0"/>
        <w:topLinePunct w:val="0"/>
        <w:autoSpaceDE/>
        <w:autoSpaceDN/>
        <w:bidi w:val="0"/>
        <w:adjustRightInd/>
        <w:snapToGrid/>
        <w:spacing w:before="0" w:after="0" w:line="480" w:lineRule="exact"/>
        <w:ind w:left="0" w:right="0" w:firstLine="1120" w:firstLineChars="400"/>
        <w:jc w:val="both"/>
        <w:textAlignment w:val="auto"/>
        <w:rPr>
          <w:rFonts w:ascii="Times New Roman" w:hAnsi="Times New Roman" w:eastAsia="方正仿宋_GBK" w:cs="Times New Roman"/>
          <w:color w:val="000000"/>
          <w:spacing w:val="0"/>
          <w:w w:val="100"/>
          <w:kern w:val="2"/>
          <w:position w:val="0"/>
          <w:sz w:val="28"/>
          <w:szCs w:val="28"/>
          <w:shd w:val="clear"/>
          <w:lang w:eastAsia="zh-CN" w:bidi="ar-SA"/>
        </w:rPr>
      </w:pPr>
      <w:r>
        <w:rPr>
          <w:rFonts w:ascii="Times New Roman" w:hAnsi="Times New Roman" w:eastAsia="方正仿宋_GBK" w:cs="Times New Roman"/>
          <w:color w:val="000000"/>
          <w:spacing w:val="0"/>
          <w:w w:val="100"/>
          <w:kern w:val="2"/>
          <w:position w:val="0"/>
          <w:sz w:val="28"/>
          <w:szCs w:val="28"/>
          <w:shd w:val="clear"/>
          <w:lang w:eastAsia="zh-CN" w:bidi="ar-SA"/>
        </w:rPr>
        <w:t xml:space="preserve">区监委，区法院，区检察院，区人武部。 </w:t>
      </w:r>
    </w:p>
    <w:p>
      <w:pPr>
        <w:keepNext w:val="0"/>
        <w:keepLines w:val="0"/>
        <w:pageBreakBefore w:val="0"/>
        <w:widowControl w:val="0"/>
        <w:shd w:val="clear"/>
        <w:kinsoku/>
        <w:wordWrap/>
        <w:overflowPunct w:val="0"/>
        <w:topLinePunct w:val="0"/>
        <w:autoSpaceDE/>
        <w:autoSpaceDN/>
        <w:bidi w:val="0"/>
        <w:adjustRightInd/>
        <w:snapToGrid/>
        <w:spacing w:before="0" w:after="0" w:line="480" w:lineRule="exact"/>
        <w:ind w:left="0" w:right="0" w:firstLine="280" w:firstLineChars="100"/>
        <w:jc w:val="both"/>
        <w:textAlignment w:val="auto"/>
        <w:rPr>
          <w:rFonts w:hint="eastAsia"/>
          <w:lang w:val="en-US" w:eastAsia="zh-CN"/>
        </w:rPr>
      </w:pPr>
      <w:r>
        <w:rPr>
          <w:rFonts w:ascii="Times New Roman" w:hAnsi="Times New Roman" w:eastAsia="方正仿宋_GBK" w:cs="Times New Roman"/>
          <w:color w:val="000000"/>
          <w:spacing w:val="0"/>
          <w:w w:val="100"/>
          <w:kern w:val="2"/>
          <w:position w:val="0"/>
          <w:sz w:val="28"/>
          <w:szCs w:val="28"/>
          <w:shd w:val="clear"/>
          <w:lang w:eastAsia="zh-CN"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355600</wp:posOffset>
                </wp:positionV>
                <wp:extent cx="55880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880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pt;width:440pt;z-index:251662336;mso-width-relative:page;mso-height-relative:page;" filled="f" stroked="t" coordsize="21600,21600" o:gfxdata="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RV2ytQAAAAGAQAADwAAAAAAAAAB&#10;ACAAAAAiAAAAZHJzL2Rvd25yZXYueG1sUEsBAhQAFAAAAAgAh07iQKD3483bAQAAlwMAAA4AAAAA&#10;AAAAAQAgAAAAIwEAAGRycy9lMm9Eb2MueG1sUEsFBgAAAAAGAAYAWQEAAHAFAAAAAA==&#10;">
                <v:fill on="f" focussize="0,0"/>
                <v:stroke weight="1.25pt" color="#000000" joinstyle="round"/>
                <v:imagedata o:title=""/>
                <o:lock v:ext="edit" aspectratio="f"/>
              </v:line>
            </w:pict>
          </mc:Fallback>
        </mc:AlternateContent>
      </w:r>
      <w:r>
        <w:rPr>
          <w:rFonts w:ascii="Times New Roman" w:hAnsi="Times New Roman" w:eastAsia="方正仿宋_GBK" w:cs="Times New Roman"/>
          <w:color w:val="000000"/>
          <w:spacing w:val="0"/>
          <w:w w:val="100"/>
          <w:kern w:val="2"/>
          <w:position w:val="0"/>
          <w:sz w:val="28"/>
          <w:szCs w:val="28"/>
          <w:shd w:val="clear"/>
          <w:lang w:eastAsia="zh-CN" w:bidi="ar-S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588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88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0pt;z-index:251663360;mso-width-relative:page;mso-height-relative:page;" filled="f" stroked="t" coordsize="21600,21600" o:gfxdata="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9rOS30AAAAAIBAAAPAAAAAAAAAAEAIAAA&#10;ACIAAABkcnMvZG93bnJldi54bWxQSwECFAAUAAAACACHTuJATjpKkNsBAACWAwAADgAAAAAAAAAB&#10;ACAAAAAfAQAAZHJzL2Uyb0RvYy54bWxQSwUGAAAAAAYABgBZAQAAbAUAAAAA&#10;">
                <v:fill on="f" focussize="0,0"/>
                <v:stroke color="#000000" joinstyle="round"/>
                <v:imagedata o:title=""/>
                <o:lock v:ext="edit" aspectratio="f"/>
              </v:line>
            </w:pict>
          </mc:Fallback>
        </mc:AlternateContent>
      </w:r>
      <w:r>
        <w:rPr>
          <w:rFonts w:ascii="Times New Roman" w:hAnsi="Times New Roman" w:eastAsia="方正仿宋_GBK" w:cs="Times New Roman"/>
          <w:color w:val="000000"/>
          <w:spacing w:val="0"/>
          <w:w w:val="100"/>
          <w:kern w:val="2"/>
          <w:position w:val="0"/>
          <w:sz w:val="28"/>
          <w:szCs w:val="28"/>
          <w:shd w:val="clear"/>
          <w:lang w:eastAsia="zh-CN" w:bidi="ar-SA"/>
        </w:rPr>
        <w:t>曲靖市麒麟区人民政府办公室             2022年</w:t>
      </w:r>
      <w:r>
        <w:rPr>
          <w:rFonts w:hint="eastAsia" w:ascii="Times New Roman" w:hAnsi="Times New Roman" w:eastAsia="方正仿宋_GBK" w:cs="Times New Roman"/>
          <w:color w:val="000000"/>
          <w:spacing w:val="0"/>
          <w:w w:val="100"/>
          <w:kern w:val="2"/>
          <w:position w:val="0"/>
          <w:sz w:val="28"/>
          <w:szCs w:val="28"/>
          <w:shd w:val="clear"/>
          <w:lang w:val="en-US" w:eastAsia="zh-CN" w:bidi="ar-SA"/>
        </w:rPr>
        <w:t>3</w:t>
      </w:r>
      <w:r>
        <w:rPr>
          <w:rFonts w:ascii="Times New Roman" w:hAnsi="Times New Roman" w:eastAsia="方正仿宋_GBK" w:cs="Times New Roman"/>
          <w:color w:val="000000"/>
          <w:spacing w:val="0"/>
          <w:w w:val="100"/>
          <w:kern w:val="2"/>
          <w:position w:val="0"/>
          <w:sz w:val="28"/>
          <w:szCs w:val="28"/>
          <w:shd w:val="clear"/>
          <w:lang w:eastAsia="zh-CN" w:bidi="ar-SA"/>
        </w:rPr>
        <w:t>月</w:t>
      </w:r>
      <w:r>
        <w:rPr>
          <w:rFonts w:hint="default" w:eastAsia="方正仿宋_GBK" w:cs="Times New Roman"/>
          <w:color w:val="000000"/>
          <w:spacing w:val="0"/>
          <w:w w:val="100"/>
          <w:kern w:val="2"/>
          <w:position w:val="0"/>
          <w:sz w:val="28"/>
          <w:szCs w:val="28"/>
          <w:shd w:val="clear"/>
          <w:lang w:val="en" w:eastAsia="zh-CN" w:bidi="ar-SA"/>
        </w:rPr>
        <w:t>30</w:t>
      </w:r>
      <w:r>
        <w:rPr>
          <w:rFonts w:ascii="Times New Roman" w:hAnsi="Times New Roman" w:eastAsia="方正仿宋_GBK" w:cs="Times New Roman"/>
          <w:color w:val="000000"/>
          <w:spacing w:val="0"/>
          <w:w w:val="100"/>
          <w:kern w:val="2"/>
          <w:position w:val="0"/>
          <w:sz w:val="28"/>
          <w:szCs w:val="28"/>
          <w:shd w:val="clear"/>
          <w:lang w:eastAsia="zh-CN" w:bidi="ar-SA"/>
        </w:rPr>
        <w:t>日印发</w:t>
      </w:r>
    </w:p>
    <w:sectPr>
      <w:footerReference r:id="rId3" w:type="default"/>
      <w:pgSz w:w="11906" w:h="16838"/>
      <w:pgMar w:top="1440" w:right="1417" w:bottom="1440" w:left="1417"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8"/>
                              <w:szCs w:val="28"/>
                              <w:lang w:eastAsia="zh-CN"/>
                            </w:rPr>
                          </w:pPr>
                          <w:r>
                            <w:rPr>
                              <w:rFonts w:hint="eastAsia" w:eastAsia="宋体"/>
                              <w:sz w:val="28"/>
                              <w:szCs w:val="28"/>
                              <w:lang w:eastAsia="zh-CN"/>
                            </w:rPr>
                            <w:t>—</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r>
                            <w:rPr>
                              <w:rFonts w:hint="eastAsia" w:eastAsia="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sz w:val="28"/>
                        <w:szCs w:val="28"/>
                        <w:lang w:eastAsia="zh-CN"/>
                      </w:rPr>
                    </w:pPr>
                    <w:r>
                      <w:rPr>
                        <w:rFonts w:hint="eastAsia" w:eastAsia="宋体"/>
                        <w:sz w:val="28"/>
                        <w:szCs w:val="28"/>
                        <w:lang w:eastAsia="zh-CN"/>
                      </w:rPr>
                      <w:t>—</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r>
                      <w:rPr>
                        <w:rFonts w:hint="eastAsia" w:eastAsia="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75B3D"/>
    <w:rsid w:val="009940DA"/>
    <w:rsid w:val="01605716"/>
    <w:rsid w:val="021A2208"/>
    <w:rsid w:val="02AF0C53"/>
    <w:rsid w:val="076D6B94"/>
    <w:rsid w:val="0B261624"/>
    <w:rsid w:val="0E8B54F4"/>
    <w:rsid w:val="0F38577E"/>
    <w:rsid w:val="0F6C1703"/>
    <w:rsid w:val="11D7566F"/>
    <w:rsid w:val="15C37C27"/>
    <w:rsid w:val="17B64412"/>
    <w:rsid w:val="18B558DC"/>
    <w:rsid w:val="200A4FAC"/>
    <w:rsid w:val="28C75B3D"/>
    <w:rsid w:val="2A233E4B"/>
    <w:rsid w:val="2B852B7F"/>
    <w:rsid w:val="2C5B63EF"/>
    <w:rsid w:val="2C666126"/>
    <w:rsid w:val="2C932B7B"/>
    <w:rsid w:val="2F4246C2"/>
    <w:rsid w:val="32515290"/>
    <w:rsid w:val="39C2597B"/>
    <w:rsid w:val="3CC6016E"/>
    <w:rsid w:val="3F5100A6"/>
    <w:rsid w:val="3FEA11C4"/>
    <w:rsid w:val="41304142"/>
    <w:rsid w:val="45B53D71"/>
    <w:rsid w:val="4BF6776B"/>
    <w:rsid w:val="4D6202D6"/>
    <w:rsid w:val="4E0050B1"/>
    <w:rsid w:val="4F1D4BBF"/>
    <w:rsid w:val="4FDFFCED"/>
    <w:rsid w:val="50F43B29"/>
    <w:rsid w:val="5DBEC17C"/>
    <w:rsid w:val="5E166233"/>
    <w:rsid w:val="5EF97345"/>
    <w:rsid w:val="60557396"/>
    <w:rsid w:val="65F7241D"/>
    <w:rsid w:val="6BE7A87E"/>
    <w:rsid w:val="6FDFC6B5"/>
    <w:rsid w:val="771A5068"/>
    <w:rsid w:val="77890593"/>
    <w:rsid w:val="9FFC81A8"/>
    <w:rsid w:val="CBF72618"/>
    <w:rsid w:val="EF6F4D3C"/>
    <w:rsid w:val="F7FDC91A"/>
    <w:rsid w:val="F9FC789E"/>
    <w:rsid w:val="FB6D07B3"/>
    <w:rsid w:val="FFED36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5">
    <w:name w:val="heading 2"/>
    <w:basedOn w:val="1"/>
    <w:next w:val="1"/>
    <w:qFormat/>
    <w:uiPriority w:val="9"/>
    <w:pPr>
      <w:keepNext/>
      <w:keepLines/>
      <w:spacing w:before="260" w:after="260" w:line="416" w:lineRule="auto"/>
      <w:outlineLvl w:val="1"/>
    </w:pPr>
    <w:rPr>
      <w:rFonts w:ascii="Times New Roman" w:hAnsi="Times New Roman" w:eastAsia="方正仿宋_GBK"/>
      <w:sz w:val="32"/>
      <w:szCs w:val="3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next w:val="3"/>
    <w:qFormat/>
    <w:uiPriority w:val="0"/>
    <w:pPr>
      <w:widowControl w:val="0"/>
      <w:spacing w:after="200"/>
      <w:ind w:left="0" w:leftChars="0" w:firstLine="420" w:firstLineChars="200"/>
      <w:jc w:val="both"/>
    </w:pPr>
    <w:rPr>
      <w:rFonts w:ascii="Calibri" w:hAnsi="Calibri" w:eastAsia="宋体" w:cs="Times New Roman"/>
      <w:kern w:val="2"/>
      <w:sz w:val="21"/>
      <w:szCs w:val="24"/>
      <w:lang w:val="en-US" w:eastAsia="zh-CN" w:bidi="ar-SA"/>
    </w:rPr>
  </w:style>
  <w:style w:type="paragraph" w:styleId="3">
    <w:name w:val="Body Text First Indent"/>
    <w:qFormat/>
    <w:uiPriority w:val="0"/>
    <w:pPr>
      <w:widowControl w:val="0"/>
      <w:spacing w:after="120"/>
      <w:ind w:firstLine="100" w:firstLineChars="100"/>
      <w:jc w:val="both"/>
    </w:pPr>
    <w:rPr>
      <w:rFonts w:ascii="Calibri" w:hAnsi="Calibri" w:eastAsia="宋体" w:cs="Times New Roman"/>
      <w:kern w:val="2"/>
      <w:sz w:val="21"/>
      <w:szCs w:val="24"/>
      <w:lang w:val="en-US" w:eastAsia="zh-CN" w:bidi="ar-SA"/>
    </w:rPr>
  </w:style>
  <w:style w:type="paragraph" w:styleId="4">
    <w:name w:val="macro"/>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semiHidden/>
    <w:qFormat/>
    <w:uiPriority w:val="0"/>
    <w:rPr>
      <w:rFonts w:cs="Times New Roman"/>
    </w:rPr>
  </w:style>
  <w:style w:type="paragraph" w:customStyle="1" w:styleId="11">
    <w:name w:val="Heading #3|1"/>
    <w:basedOn w:val="1"/>
    <w:qFormat/>
    <w:uiPriority w:val="0"/>
    <w:pPr>
      <w:widowControl w:val="0"/>
      <w:shd w:val="clear" w:color="auto" w:fill="auto"/>
      <w:spacing w:after="270" w:line="363" w:lineRule="exact"/>
      <w:ind w:firstLine="340"/>
      <w:jc w:val="center"/>
      <w:outlineLvl w:val="2"/>
    </w:pPr>
    <w:rPr>
      <w:rFonts w:ascii="宋体" w:hAnsi="宋体" w:eastAsia="宋体" w:cs="宋体"/>
      <w:sz w:val="28"/>
      <w:szCs w:val="28"/>
      <w:u w:val="none"/>
      <w:shd w:val="clear" w:color="auto" w:fill="auto"/>
      <w:lang w:val="zh-CN" w:eastAsia="zh-CN" w:bidi="zh-CN"/>
    </w:rPr>
  </w:style>
  <w:style w:type="paragraph" w:customStyle="1" w:styleId="12">
    <w:name w:val="Body text|1"/>
    <w:basedOn w:val="1"/>
    <w:qFormat/>
    <w:uiPriority w:val="0"/>
    <w:pPr>
      <w:widowControl w:val="0"/>
      <w:shd w:val="clear" w:color="auto" w:fill="auto"/>
      <w:spacing w:line="425" w:lineRule="auto"/>
      <w:ind w:firstLine="400"/>
    </w:pPr>
    <w:rPr>
      <w:rFonts w:ascii="宋体" w:hAnsi="宋体" w:eastAsia="宋体" w:cs="宋体"/>
      <w:sz w:val="20"/>
      <w:szCs w:val="20"/>
      <w:u w:val="none"/>
      <w:shd w:val="clear" w:color="auto" w:fill="auto"/>
      <w:lang w:val="zh-CN" w:eastAsia="zh-CN" w:bidi="zh-CN"/>
    </w:rPr>
  </w:style>
  <w:style w:type="paragraph" w:customStyle="1" w:styleId="13">
    <w:name w:val="Header or footer|2"/>
    <w:basedOn w:val="1"/>
    <w:qFormat/>
    <w:uiPriority w:val="0"/>
    <w:pPr>
      <w:widowControl w:val="0"/>
      <w:shd w:val="clear" w:color="auto" w:fill="auto"/>
    </w:pPr>
    <w:rPr>
      <w:sz w:val="20"/>
      <w:szCs w:val="20"/>
      <w:u w:val="none"/>
      <w:shd w:val="clear" w:color="auto" w:fill="auto"/>
    </w:rPr>
  </w:style>
  <w:style w:type="paragraph" w:customStyle="1" w:styleId="14">
    <w:name w:val="Other|1"/>
    <w:basedOn w:val="1"/>
    <w:qFormat/>
    <w:uiPriority w:val="0"/>
    <w:pPr>
      <w:widowControl w:val="0"/>
      <w:shd w:val="clear" w:color="auto" w:fill="auto"/>
      <w:spacing w:line="427" w:lineRule="auto"/>
      <w:ind w:firstLine="400"/>
    </w:pPr>
    <w:rPr>
      <w:rFonts w:ascii="宋体" w:hAnsi="宋体" w:eastAsia="宋体" w:cs="宋体"/>
      <w:sz w:val="18"/>
      <w:szCs w:val="18"/>
      <w:u w:val="none"/>
      <w:shd w:val="clear" w:color="auto" w:fill="auto"/>
      <w:lang w:val="zh-CN" w:eastAsia="zh-CN" w:bidi="zh-CN"/>
    </w:rPr>
  </w:style>
  <w:style w:type="paragraph" w:customStyle="1" w:styleId="15">
    <w:name w:val="Other|2"/>
    <w:basedOn w:val="1"/>
    <w:qFormat/>
    <w:uiPriority w:val="0"/>
    <w:pPr>
      <w:widowControl w:val="0"/>
      <w:shd w:val="clear" w:color="auto" w:fill="auto"/>
      <w:spacing w:before="80" w:line="240" w:lineRule="exact"/>
    </w:pPr>
    <w:rPr>
      <w:rFonts w:ascii="宋体" w:hAnsi="宋体" w:eastAsia="宋体" w:cs="宋体"/>
      <w:sz w:val="18"/>
      <w:szCs w:val="18"/>
      <w:u w:val="none"/>
      <w:shd w:val="clear" w:color="auto" w:fill="auto"/>
      <w:lang w:val="zh-CN" w:eastAsia="zh-CN" w:bidi="zh-CN"/>
    </w:rPr>
  </w:style>
  <w:style w:type="paragraph" w:customStyle="1" w:styleId="16">
    <w:name w:val="Char Char Char Char Char Char"/>
    <w:next w:val="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曲靖市麒麟区党政机关单位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2022-01-08T17:16:00Z</dcterms:created>
  <dc:creator>QLF</dc:creator>
  <cp:lastModifiedBy>Administrator</cp:lastModifiedBy>
  <cp:lastPrinted>2022-03-04T00:00:00Z</cp:lastPrinted>
  <dcterms:modified xsi:type="dcterms:W3CDTF">2022-12-16T07:26:29Z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A234B5B4CD2B40B18A411B0036B70E6A</vt:lpwstr>
  </property>
</Properties>
</file>