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区一中片区棚户区（危旧房）改造项目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“尚书园”QJC2020-3地块建设项目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修建性详细规划批前公示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line="440" w:lineRule="exact"/>
        <w:ind w:firstLine="643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区一中片区棚户区（危旧房）改造项目“尚书园”QJC2020-3地块建设项目修建性详细规划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已经属地自然资源部门审查，符合当地规划技术指标要求，经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规委会2023年第五次会议审议通过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，拟同意该项目办理规划手续，按照有关规定，现将该项目规划予以批前公示。</w:t>
      </w:r>
    </w:p>
    <w:p>
      <w:pPr>
        <w:spacing w:line="440" w:lineRule="exact"/>
        <w:ind w:left="2244" w:leftChars="304" w:hanging="1606" w:hangingChars="5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区一中片区棚户区（危旧房）改造项目“尚书园”QJC2020-3地块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      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曲靖市麒麟区朝升园房地产开发有限公司</w:t>
      </w:r>
    </w:p>
    <w:p>
      <w:pPr>
        <w:spacing w:line="440" w:lineRule="exact"/>
        <w:ind w:firstLine="643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eastAsia="zh-CN"/>
        </w:rPr>
        <w:t>建保路北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侧，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eastAsia="zh-CN"/>
        </w:rPr>
        <w:t>南宁北路东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侧，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eastAsia="zh-CN"/>
        </w:rPr>
        <w:t>麒麟东路南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侧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项目建设内容及规模: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规划用地面积约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12040.55</w:t>
      </w: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18.06</w:t>
      </w:r>
      <w:r>
        <w:rPr>
          <w:rFonts w:hint="eastAsia" w:ascii="仿宋" w:hAnsi="仿宋" w:eastAsia="仿宋" w:cs="宋体"/>
          <w:kern w:val="0"/>
          <w:sz w:val="32"/>
          <w:szCs w:val="32"/>
        </w:rPr>
        <w:t>亩），建筑占地面积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2142.52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36106.19</w:t>
      </w:r>
      <w:r>
        <w:rPr>
          <w:rFonts w:hint="eastAsia" w:ascii="仿宋" w:hAnsi="仿宋" w:eastAsia="仿宋" w:cs="宋体"/>
          <w:kern w:val="0"/>
          <w:sz w:val="32"/>
          <w:szCs w:val="32"/>
        </w:rPr>
        <w:t>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（地上计容建筑面积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23995.66</w:t>
      </w:r>
      <w:r>
        <w:rPr>
          <w:rFonts w:hint="eastAsia" w:ascii="仿宋" w:hAnsi="仿宋" w:eastAsia="仿宋" w:cs="宋体"/>
          <w:kern w:val="0"/>
          <w:sz w:val="32"/>
          <w:szCs w:val="32"/>
        </w:rPr>
        <w:t>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，地下室建筑面积12110.53</w:t>
      </w:r>
      <w:r>
        <w:rPr>
          <w:rFonts w:hint="eastAsia" w:ascii="仿宋" w:hAnsi="仿宋" w:eastAsia="仿宋" w:cs="宋体"/>
          <w:kern w:val="0"/>
          <w:sz w:val="32"/>
          <w:szCs w:val="32"/>
        </w:rPr>
        <w:t>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，容积率1.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，建筑密度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17.79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30.13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%，机动车位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宋体"/>
          <w:kern w:val="0"/>
          <w:sz w:val="32"/>
          <w:szCs w:val="32"/>
        </w:rPr>
        <w:t>个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非机动车位248个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公示时间：2023年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日至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日（7个工作日）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投诉举报电话：0874—3298664（法规科）。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咨询联系电话：0874—3187819（技术科）。</w:t>
      </w:r>
    </w:p>
    <w:p>
      <w:pPr>
        <w:spacing w:line="440" w:lineRule="exac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附件：1.规划总平面图、经济技术指标表</w:t>
      </w:r>
    </w:p>
    <w:p>
      <w:pPr>
        <w:spacing w:line="440" w:lineRule="exact"/>
        <w:ind w:firstLine="640" w:firstLineChars="200"/>
        <w:rPr>
          <w:rFonts w:ascii="微软雅黑" w:hAnsi="微软雅黑" w:eastAsia="微软雅黑" w:cs="微软雅黑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  <w:lang w:bidi="ar"/>
        </w:rPr>
        <w:t>　</w:t>
      </w:r>
      <w:r>
        <w:rPr>
          <w:rFonts w:hint="eastAsia" w:ascii="仿宋" w:hAnsi="仿宋" w:eastAsia="仿宋" w:cs="宋体"/>
          <w:kern w:val="0"/>
          <w:sz w:val="32"/>
          <w:szCs w:val="32"/>
        </w:rPr>
        <w:t>2.整体鸟瞰图、单体效果图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              </w:t>
      </w:r>
    </w:p>
    <w:p>
      <w:pPr>
        <w:spacing w:line="440" w:lineRule="exact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麒麟区自然资源局</w:t>
      </w:r>
    </w:p>
    <w:p>
      <w:pPr>
        <w:spacing w:line="440" w:lineRule="exact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2023年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</w:t>
      </w: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      </w:t>
      </w:r>
    </w:p>
    <w:p>
      <w:pPr>
        <w:widowControl/>
        <w:spacing w:line="640" w:lineRule="atLeast"/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640" w:lineRule="atLeast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规划彩色总平面图</w:t>
      </w:r>
    </w:p>
    <w:p>
      <w:pPr>
        <w:widowControl/>
        <w:spacing w:line="640" w:lineRule="atLeast"/>
      </w:pPr>
    </w:p>
    <w:p>
      <w:pPr>
        <w:widowControl/>
        <w:spacing w:line="64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drawing>
          <wp:inline distT="0" distB="0" distL="0" distR="0">
            <wp:extent cx="5606415" cy="4231640"/>
            <wp:effectExtent l="0" t="0" r="13335" b="16510"/>
            <wp:docPr id="1770042286" name="图片 1" descr="H:\2023年工作\20230116尚书园\20230623曲靖市麒麟区朝升园房地产开发有限公司区一中片区棚户区（危旧房）改造项目“尚书园”QJC2020-3地块文本\JPEG\2-2彩平.jpg2-2彩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42286" name="图片 1" descr="H:\2023年工作\20230116尚书园\20230623曲靖市麒麟区朝升园房地产开发有限公司区一中片区棚户区（危旧房）改造项目“尚书园”QJC2020-3地块文本\JPEG\2-2彩平.jpg2-2彩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59" t="14166" r="23480" b="13938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hint="eastAsia"/>
          <w:b/>
          <w:bCs/>
          <w:sz w:val="28"/>
          <w:szCs w:val="28"/>
          <w:lang w:eastAsia="zh-CN"/>
        </w:rPr>
        <w:t>主要经济技术指标表</w:t>
      </w:r>
    </w:p>
    <w:tbl>
      <w:tblPr>
        <w:tblStyle w:val="3"/>
        <w:tblW w:w="74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21"/>
        <w:gridCol w:w="1814"/>
        <w:gridCol w:w="521"/>
        <w:gridCol w:w="1230"/>
        <w:gridCol w:w="2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2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主要经济技术指标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总用地面积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12040.55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18.06</w:t>
            </w:r>
            <w:r>
              <w:rPr>
                <w:rStyle w:val="8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总建筑面积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36106.19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计容总建筑面积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23995.66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地上总建筑面积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23995.66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住宅建筑面积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23278.69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高层住宅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23278.69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  <w:r>
              <w:rPr>
                <w:rStyle w:val="8"/>
                <w:lang w:val="en-US" w:eastAsia="zh-CN" w:bidi="ar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公共服务设施配套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716.97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31.98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栋地上一层设置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社区用房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49.84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栋地上一层设置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物业管理用房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92.59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栋地上一层设置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生鮮超市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116.48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栋地上一层设置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41.09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栋地上一层设置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老年服务站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300.18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栋地上一层设置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社区文化活动场所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40.32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栋地上一层设置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婴幼儿照护设施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44.49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栋地上一层设置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社区体育活动场所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161.14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地下总建筑面积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12110.53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雨水收集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115.88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按照每</w:t>
            </w:r>
            <w:r>
              <w:rPr>
                <w:rStyle w:val="10"/>
                <w:rFonts w:eastAsia="宋体"/>
                <w:lang w:val="en-US" w:eastAsia="zh-CN" w:bidi="ar"/>
              </w:rPr>
              <w:t>100</w:t>
            </w:r>
            <w:r>
              <w:rPr>
                <w:rStyle w:val="11"/>
                <w:lang w:val="en-US" w:eastAsia="zh-CN" w:bidi="ar"/>
              </w:rPr>
              <w:t>平净用地设置</w:t>
            </w:r>
            <w:r>
              <w:rPr>
                <w:rStyle w:val="10"/>
                <w:rFonts w:eastAsia="宋体"/>
                <w:lang w:val="en-US" w:eastAsia="zh-CN" w:bidi="ar"/>
              </w:rPr>
              <w:t>4m³</w:t>
            </w:r>
            <w:r>
              <w:rPr>
                <w:rStyle w:val="11"/>
                <w:lang w:val="en-US" w:eastAsia="zh-CN" w:bidi="ar"/>
              </w:rPr>
              <w:t>的水池计算，共482m³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中水处理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按照</w:t>
            </w:r>
            <w:r>
              <w:rPr>
                <w:rStyle w:val="10"/>
                <w:rFonts w:eastAsia="宋体"/>
                <w:lang w:val="en-US" w:eastAsia="zh-CN" w:bidi="ar"/>
              </w:rPr>
              <w:t>40KG/</w:t>
            </w:r>
            <w:r>
              <w:rPr>
                <w:rStyle w:val="11"/>
                <w:lang w:val="en-US" w:eastAsia="zh-CN" w:bidi="ar"/>
              </w:rPr>
              <w:t>人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天计算，共</w:t>
            </w:r>
            <w:r>
              <w:rPr>
                <w:rStyle w:val="10"/>
                <w:rFonts w:eastAsia="宋体"/>
                <w:lang w:val="en-US" w:eastAsia="zh-CN" w:bidi="ar"/>
              </w:rPr>
              <w:t>18560Kg/</w:t>
            </w:r>
            <w:r>
              <w:rPr>
                <w:rStyle w:val="11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消防水池、水泵房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214.73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地下机动车库面积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11344.85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非机动车库面积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379.02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规划条件</w:t>
            </w:r>
            <w:r>
              <w:rPr>
                <w:rStyle w:val="12"/>
                <w:rFonts w:eastAsia="宋体"/>
                <w:lang w:val="en-US" w:eastAsia="zh-CN" w:bidi="ar"/>
              </w:rPr>
              <w:t>≤2.0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居住人数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住宅：3.2人/户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建筑占地面积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2142.52 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建筑密度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17.79%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规划条件</w:t>
            </w:r>
            <w:r>
              <w:rPr>
                <w:rStyle w:val="12"/>
                <w:rFonts w:eastAsia="宋体"/>
                <w:lang w:val="en-US" w:eastAsia="zh-CN" w:bidi="ar"/>
              </w:rPr>
              <w:t>≤35%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绿地面积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3627.71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地面绿地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3627.71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折算标准</w:t>
            </w:r>
            <w:r>
              <w:rPr>
                <w:rStyle w:val="10"/>
                <w:rFonts w:eastAsia="宋体"/>
                <w:lang w:val="en-US" w:eastAsia="zh-CN" w:bidi="ar"/>
              </w:rPr>
              <w:t>100%</w:t>
            </w:r>
            <w:r>
              <w:rPr>
                <w:rStyle w:val="11"/>
                <w:lang w:val="en-US" w:eastAsia="zh-CN" w:bidi="ar"/>
              </w:rPr>
              <w:t>，地下室顶板覆土厚度1.5米以上（100%）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30.13%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规划条件</w:t>
            </w:r>
            <w:r>
              <w:rPr>
                <w:rStyle w:val="12"/>
                <w:rFonts w:eastAsia="宋体"/>
                <w:lang w:val="en-US" w:eastAsia="zh-CN" w:bidi="ar"/>
              </w:rPr>
              <w:t>≥</w:t>
            </w:r>
            <w:r>
              <w:rPr>
                <w:rStyle w:val="8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机动车车位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规划条件197个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普通停车位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无障碍车位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带充电桩车位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非机动车车位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规划条件</w:t>
            </w:r>
            <w:r>
              <w:rPr>
                <w:rStyle w:val="12"/>
                <w:rFonts w:eastAsia="宋体"/>
                <w:lang w:val="en-US" w:eastAsia="zh-CN" w:bidi="ar"/>
              </w:rPr>
              <w:t>248</w:t>
            </w:r>
            <w:r>
              <w:rPr>
                <w:rStyle w:val="8"/>
                <w:lang w:val="en-US" w:eastAsia="zh-CN" w:bidi="ar"/>
              </w:rPr>
              <w:t>个</w:t>
            </w:r>
          </w:p>
        </w:tc>
      </w:tr>
    </w:tbl>
    <w:p/>
    <w:p/>
    <w:p/>
    <w:p/>
    <w:p/>
    <w:p/>
    <w:p/>
    <w:p/>
    <w:p/>
    <w:p/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40" w:lineRule="atLeast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实景鸟瞰图</w:t>
      </w:r>
    </w:p>
    <w:p>
      <w:pPr>
        <w:widowControl/>
        <w:spacing w:line="640" w:lineRule="atLeas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149225</wp:posOffset>
            </wp:positionV>
            <wp:extent cx="5349875" cy="2938145"/>
            <wp:effectExtent l="0" t="0" r="3175" b="14605"/>
            <wp:wrapTopAndBottom/>
            <wp:docPr id="482393013" name="图片 3" descr="H:\2023年工作\20230116尚书园\效果图20230625\44b3395512ad9295874a3150f4518cd.jpg44b3395512ad9295874a3150f451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93013" name="图片 3" descr="H:\2023年工作\20230116尚书园\效果图20230625\44b3395512ad9295874a3150f4518cd.jpg44b3395512ad9295874a3150f4518c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640" w:lineRule="atLeast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单体透视效果图</w:t>
      </w:r>
    </w:p>
    <w:p>
      <w:pPr>
        <w:widowControl/>
        <w:spacing w:line="640" w:lineRule="atLeast"/>
        <w:rPr>
          <w:rFonts w:hint="eastAsia"/>
          <w:lang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186055</wp:posOffset>
            </wp:positionV>
            <wp:extent cx="5050155" cy="3787775"/>
            <wp:effectExtent l="0" t="0" r="17145" b="3175"/>
            <wp:wrapSquare wrapText="bothSides"/>
            <wp:docPr id="1576316071" name="图片 2" descr="H:\2023年工作\20230116尚书园\效果图20230625\微信图片_20230625143723.jpg微信图片_20230625143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16071" name="图片 2" descr="H:\2023年工作\20230116尚书园\效果图20230625\微信图片_20230625143723.jpg微信图片_202306251437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/>
          <w:b/>
          <w:bCs/>
          <w:sz w:val="28"/>
          <w:szCs w:val="28"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477520</wp:posOffset>
            </wp:positionV>
            <wp:extent cx="5047615" cy="3785870"/>
            <wp:effectExtent l="0" t="0" r="635" b="5080"/>
            <wp:wrapTopAndBottom/>
            <wp:docPr id="1584661614" name="图片 4" descr="H:\2023年工作\20230116尚书园\效果图20230625\微信图片_20230625143700.jpg微信图片_20230625143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61614" name="图片 4" descr="H:\2023年工作\20230116尚书园\效果图20230625\微信图片_20230625143700.jpg微信图片_202306251437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378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eastAsia="zh-CN"/>
        </w:rPr>
        <w:t>夜景透视效果图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mM0YzA1NzI5NDZmMWNjMTJmOTY5OTM3MDM2YzMifQ=="/>
  </w:docVars>
  <w:rsids>
    <w:rsidRoot w:val="689C49DC"/>
    <w:rsid w:val="000C3DA7"/>
    <w:rsid w:val="001840D4"/>
    <w:rsid w:val="001978C2"/>
    <w:rsid w:val="003312B8"/>
    <w:rsid w:val="003F007A"/>
    <w:rsid w:val="00627F58"/>
    <w:rsid w:val="00756E57"/>
    <w:rsid w:val="00815A38"/>
    <w:rsid w:val="0097577D"/>
    <w:rsid w:val="009D5328"/>
    <w:rsid w:val="00C44C44"/>
    <w:rsid w:val="00CC2C13"/>
    <w:rsid w:val="00DD0E80"/>
    <w:rsid w:val="00F567A4"/>
    <w:rsid w:val="00FB4422"/>
    <w:rsid w:val="00FF2F4F"/>
    <w:rsid w:val="01960D43"/>
    <w:rsid w:val="01D45748"/>
    <w:rsid w:val="01F73B1B"/>
    <w:rsid w:val="03004097"/>
    <w:rsid w:val="031413F0"/>
    <w:rsid w:val="04A10F62"/>
    <w:rsid w:val="04E667AE"/>
    <w:rsid w:val="052A6AD1"/>
    <w:rsid w:val="0996713D"/>
    <w:rsid w:val="09CD3B43"/>
    <w:rsid w:val="0AE0504E"/>
    <w:rsid w:val="0BCF59FE"/>
    <w:rsid w:val="0C5B7E66"/>
    <w:rsid w:val="0CC05AB7"/>
    <w:rsid w:val="0CCB51C9"/>
    <w:rsid w:val="0DE74598"/>
    <w:rsid w:val="0E0D58BA"/>
    <w:rsid w:val="0EC00531"/>
    <w:rsid w:val="0FEF7661"/>
    <w:rsid w:val="102F1A55"/>
    <w:rsid w:val="110765F0"/>
    <w:rsid w:val="11967974"/>
    <w:rsid w:val="11D3306C"/>
    <w:rsid w:val="12E176DE"/>
    <w:rsid w:val="139E292C"/>
    <w:rsid w:val="14270D58"/>
    <w:rsid w:val="15040C8C"/>
    <w:rsid w:val="15B92EBA"/>
    <w:rsid w:val="15FF7598"/>
    <w:rsid w:val="16265B76"/>
    <w:rsid w:val="16EA49EA"/>
    <w:rsid w:val="193B71B3"/>
    <w:rsid w:val="1A401CCF"/>
    <w:rsid w:val="1BFD0C46"/>
    <w:rsid w:val="1C964CCC"/>
    <w:rsid w:val="1D3A087F"/>
    <w:rsid w:val="1E27029E"/>
    <w:rsid w:val="1EB738F4"/>
    <w:rsid w:val="1EC024D4"/>
    <w:rsid w:val="1F7D79B2"/>
    <w:rsid w:val="204D1E63"/>
    <w:rsid w:val="20880DD0"/>
    <w:rsid w:val="20D858B3"/>
    <w:rsid w:val="215B0293"/>
    <w:rsid w:val="22AE50CC"/>
    <w:rsid w:val="230E1A60"/>
    <w:rsid w:val="265754CC"/>
    <w:rsid w:val="267C4F33"/>
    <w:rsid w:val="293E0E3F"/>
    <w:rsid w:val="2A6D15FD"/>
    <w:rsid w:val="2B637A26"/>
    <w:rsid w:val="2C1F083A"/>
    <w:rsid w:val="2C8132A3"/>
    <w:rsid w:val="2C9C1CC7"/>
    <w:rsid w:val="2CB24021"/>
    <w:rsid w:val="2D0A5DDE"/>
    <w:rsid w:val="2D1F486A"/>
    <w:rsid w:val="2DA37249"/>
    <w:rsid w:val="2E5846E0"/>
    <w:rsid w:val="2F5C49DA"/>
    <w:rsid w:val="2F8F1226"/>
    <w:rsid w:val="303C1F64"/>
    <w:rsid w:val="3210686D"/>
    <w:rsid w:val="327D3987"/>
    <w:rsid w:val="33A516A6"/>
    <w:rsid w:val="33F67FC4"/>
    <w:rsid w:val="34945B3E"/>
    <w:rsid w:val="34AA1C4B"/>
    <w:rsid w:val="355645A5"/>
    <w:rsid w:val="35E37DFC"/>
    <w:rsid w:val="36107446"/>
    <w:rsid w:val="378D3EBA"/>
    <w:rsid w:val="39FD6893"/>
    <w:rsid w:val="3A836526"/>
    <w:rsid w:val="3AD96FF8"/>
    <w:rsid w:val="3C0D42D6"/>
    <w:rsid w:val="3C2679C3"/>
    <w:rsid w:val="3C8F795C"/>
    <w:rsid w:val="3DA57E10"/>
    <w:rsid w:val="3DE07D45"/>
    <w:rsid w:val="3F027239"/>
    <w:rsid w:val="3F1C7FA4"/>
    <w:rsid w:val="3FA76F85"/>
    <w:rsid w:val="4081166C"/>
    <w:rsid w:val="419E1F1B"/>
    <w:rsid w:val="43911BC6"/>
    <w:rsid w:val="43E63694"/>
    <w:rsid w:val="44550EAB"/>
    <w:rsid w:val="454E0401"/>
    <w:rsid w:val="467852BF"/>
    <w:rsid w:val="47F47406"/>
    <w:rsid w:val="481D1D1C"/>
    <w:rsid w:val="493C3147"/>
    <w:rsid w:val="4970716C"/>
    <w:rsid w:val="4D911AC4"/>
    <w:rsid w:val="4DD86643"/>
    <w:rsid w:val="4DDF3E76"/>
    <w:rsid w:val="4EBB6954"/>
    <w:rsid w:val="4F1072D9"/>
    <w:rsid w:val="50594988"/>
    <w:rsid w:val="515D5808"/>
    <w:rsid w:val="52D91C1D"/>
    <w:rsid w:val="5457797F"/>
    <w:rsid w:val="54770566"/>
    <w:rsid w:val="574808E2"/>
    <w:rsid w:val="5C513715"/>
    <w:rsid w:val="5D1E3978"/>
    <w:rsid w:val="5D431107"/>
    <w:rsid w:val="5E824FEC"/>
    <w:rsid w:val="5F13572D"/>
    <w:rsid w:val="5FA5225D"/>
    <w:rsid w:val="601B0D2A"/>
    <w:rsid w:val="608D1895"/>
    <w:rsid w:val="61C80AAF"/>
    <w:rsid w:val="63BF7C32"/>
    <w:rsid w:val="6483759B"/>
    <w:rsid w:val="660758C0"/>
    <w:rsid w:val="680A039A"/>
    <w:rsid w:val="689C49DC"/>
    <w:rsid w:val="69321FF0"/>
    <w:rsid w:val="698D2452"/>
    <w:rsid w:val="6F12155D"/>
    <w:rsid w:val="6F130C28"/>
    <w:rsid w:val="708F4019"/>
    <w:rsid w:val="71663DE2"/>
    <w:rsid w:val="71925ABC"/>
    <w:rsid w:val="71926986"/>
    <w:rsid w:val="73C75DED"/>
    <w:rsid w:val="740C459B"/>
    <w:rsid w:val="74C4779E"/>
    <w:rsid w:val="76F75DE3"/>
    <w:rsid w:val="790F6B0E"/>
    <w:rsid w:val="79E64256"/>
    <w:rsid w:val="7B10284A"/>
    <w:rsid w:val="7B661868"/>
    <w:rsid w:val="7B8F6A55"/>
    <w:rsid w:val="7BF8164C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81"/>
    <w:basedOn w:val="5"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11">
    <w:name w:val="font51"/>
    <w:basedOn w:val="5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2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5</Pages>
  <Words>994</Words>
  <Characters>1310</Characters>
  <Lines>6</Lines>
  <Paragraphs>1</Paragraphs>
  <TotalTime>0</TotalTime>
  <ScaleCrop>false</ScaleCrop>
  <LinksUpToDate>false</LinksUpToDate>
  <CharactersWithSpaces>1374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2022-09-20T07:42:00Z</cp:lastPrinted>
  <dcterms:modified xsi:type="dcterms:W3CDTF">2023-06-26T01:43:58Z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FDE7EC4331C341618771042B41F29CC4_13</vt:lpwstr>
  </property>
</Properties>
</file>