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10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省级</w:t>
      </w:r>
      <w:r>
        <w:rPr>
          <w:rFonts w:hint="eastAsia" w:ascii="方正小标宋_GBK" w:eastAsia="方正小标宋_GBK"/>
          <w:sz w:val="44"/>
          <w:szCs w:val="44"/>
        </w:rPr>
        <w:t>财政衔接推进乡村振兴补助资金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正向激励调整资金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各相关单位、各镇（街道）：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按照有关程序和要求，你单位（镇、街道）报送的2023年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省级</w:t>
      </w:r>
      <w:r>
        <w:rPr>
          <w:rFonts w:hint="eastAsia" w:ascii="方正仿宋_GBK" w:eastAsia="方正仿宋_GBK"/>
          <w:sz w:val="32"/>
          <w:szCs w:val="32"/>
        </w:rPr>
        <w:t>财政衔接推进乡村振兴补助资金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正向激励调整资金</w:t>
      </w:r>
      <w:r>
        <w:rPr>
          <w:rFonts w:hint="eastAsia" w:ascii="方正仿宋_GBK" w:eastAsia="方正仿宋_GBK"/>
          <w:sz w:val="32"/>
          <w:szCs w:val="32"/>
        </w:rPr>
        <w:t>项目绩效目标经区财政局、区乡村振兴局、区行业主管部门联合审核，现予以批复（绩效目标见附件1），并要求如下：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二、请各单位（镇、街道）在收到绩效目标批复后将绩效目标进行公示公开。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三、预算执行中，各单位（镇、街道）应定期对预算和绩效目标执行情况进行跟踪分析，以确保绩效目标不偏离。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五、共涉及衔接资金508万元。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2023年10月17日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1AA40410"/>
    <w:rsid w:val="4F3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2023-12-01T01:29:00Z</cp:lastPrinted>
  <dcterms:modified xsi:type="dcterms:W3CDTF">2023-12-06T07:07:23Z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D04EA90825324D6DBAFB2B1A3B6EE761_12</vt:lpwstr>
  </property>
</Properties>
</file>