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tLeast"/>
        <w:jc w:val="center"/>
        <w:textAlignment w:val="auto"/>
        <w:outlineLvl w:val="9"/>
        <w:rPr>
          <w:rFonts w:hint="eastAsia" w:eastAsia="仿宋" w:asciiTheme="minorHAnsi" w:hAnsiTheme="minorHAnsi"/>
          <w:b/>
          <w:bCs/>
          <w:kern w:val="2"/>
          <w:sz w:val="28"/>
          <w:szCs w:val="28"/>
          <w:lang w:eastAsia="zh-CN"/>
        </w:rPr>
      </w:pPr>
      <w:bookmarkStart w:id="0" w:name="_Hlk23253334"/>
      <w:bookmarkStart w:id="1" w:name="_Toc447125208"/>
      <w:r>
        <w:rPr>
          <w:rFonts w:hint="eastAsia" w:eastAsia="仿宋" w:asciiTheme="minorHAnsi" w:hAnsiTheme="minorHAnsi"/>
          <w:b/>
          <w:bCs/>
          <w:kern w:val="2"/>
          <w:sz w:val="28"/>
          <w:szCs w:val="28"/>
          <w:lang w:eastAsia="zh-CN"/>
        </w:rPr>
        <w:t>曲靖市麒麟区自然资源局拟对曲靖市健锐石业有限公司采矿权</w:t>
      </w:r>
    </w:p>
    <w:p>
      <w:pPr>
        <w:keepNext w:val="0"/>
        <w:keepLines w:val="0"/>
        <w:pageBreakBefore w:val="0"/>
        <w:widowControl/>
        <w:kinsoku/>
        <w:wordWrap/>
        <w:overflowPunct/>
        <w:topLinePunct w:val="0"/>
        <w:autoSpaceDE/>
        <w:autoSpaceDN/>
        <w:bidi w:val="0"/>
        <w:adjustRightInd/>
        <w:snapToGrid/>
        <w:spacing w:after="0" w:line="240" w:lineRule="atLeast"/>
        <w:jc w:val="center"/>
        <w:textAlignment w:val="auto"/>
        <w:outlineLvl w:val="9"/>
        <w:rPr>
          <w:rFonts w:hint="eastAsia" w:eastAsia="仿宋" w:asciiTheme="minorHAnsi" w:hAnsiTheme="minorHAnsi"/>
          <w:b/>
          <w:bCs/>
          <w:kern w:val="2"/>
          <w:sz w:val="28"/>
          <w:szCs w:val="28"/>
          <w:lang w:eastAsia="zh-CN"/>
        </w:rPr>
      </w:pPr>
      <w:r>
        <w:rPr>
          <w:rFonts w:hint="eastAsia" w:eastAsia="仿宋" w:asciiTheme="minorHAnsi" w:hAnsiTheme="minorHAnsi"/>
          <w:b/>
          <w:bCs/>
          <w:kern w:val="2"/>
          <w:sz w:val="28"/>
          <w:szCs w:val="28"/>
          <w:lang w:eastAsia="zh-CN"/>
        </w:rPr>
        <w:t>进行竞争性出让所涉及的曲靖市健锐石业有限公司</w:t>
      </w:r>
    </w:p>
    <w:p>
      <w:pPr>
        <w:keepNext w:val="0"/>
        <w:keepLines w:val="0"/>
        <w:pageBreakBefore w:val="0"/>
        <w:widowControl/>
        <w:kinsoku/>
        <w:wordWrap/>
        <w:overflowPunct/>
        <w:topLinePunct w:val="0"/>
        <w:autoSpaceDE/>
        <w:autoSpaceDN/>
        <w:bidi w:val="0"/>
        <w:adjustRightInd/>
        <w:snapToGrid/>
        <w:spacing w:after="0" w:line="240" w:lineRule="atLeast"/>
        <w:jc w:val="center"/>
        <w:textAlignment w:val="auto"/>
        <w:outlineLvl w:val="9"/>
        <w:rPr>
          <w:rFonts w:eastAsia="仿宋" w:asciiTheme="minorHAnsi" w:hAnsiTheme="minorHAnsi"/>
          <w:b/>
          <w:bCs/>
          <w:kern w:val="2"/>
          <w:sz w:val="28"/>
          <w:szCs w:val="28"/>
          <w:lang w:eastAsia="zh-CN"/>
        </w:rPr>
      </w:pPr>
      <w:r>
        <w:rPr>
          <w:rFonts w:hint="eastAsia" w:eastAsia="仿宋" w:asciiTheme="minorHAnsi" w:hAnsiTheme="minorHAnsi"/>
          <w:b/>
          <w:bCs/>
          <w:kern w:val="2"/>
          <w:sz w:val="28"/>
          <w:szCs w:val="28"/>
          <w:lang w:eastAsia="zh-CN"/>
        </w:rPr>
        <w:t>采矿权涉矿相关资产市场价值</w:t>
      </w:r>
    </w:p>
    <w:bookmarkEnd w:id="0"/>
    <w:p>
      <w:pPr>
        <w:pStyle w:val="3"/>
        <w:keepNext w:val="0"/>
        <w:keepLines w:val="0"/>
        <w:pageBreakBefore w:val="0"/>
        <w:widowControl/>
        <w:shd w:val="clear"/>
        <w:kinsoku/>
        <w:wordWrap/>
        <w:overflowPunct/>
        <w:topLinePunct w:val="0"/>
        <w:autoSpaceDE/>
        <w:autoSpaceDN/>
        <w:bidi w:val="0"/>
        <w:adjustRightInd/>
        <w:snapToGrid/>
        <w:spacing w:before="0" w:line="240" w:lineRule="atLeast"/>
        <w:jc w:val="center"/>
        <w:textAlignment w:val="auto"/>
        <w:rPr>
          <w:rFonts w:eastAsia="仿宋" w:asciiTheme="minorHAnsi" w:hAnsiTheme="minorHAnsi"/>
          <w:b/>
          <w:bCs/>
          <w:kern w:val="2"/>
          <w:sz w:val="28"/>
          <w:szCs w:val="28"/>
          <w:highlight w:val="none"/>
          <w:lang w:eastAsia="zh-CN"/>
        </w:rPr>
      </w:pPr>
      <w:bookmarkStart w:id="2" w:name="_Toc26238"/>
      <w:r>
        <w:rPr>
          <w:rFonts w:hint="eastAsia" w:eastAsia="仿宋" w:asciiTheme="minorHAnsi" w:hAnsiTheme="minorHAnsi"/>
          <w:b/>
          <w:bCs/>
          <w:kern w:val="2"/>
          <w:sz w:val="28"/>
          <w:szCs w:val="28"/>
          <w:lang w:eastAsia="zh-CN"/>
        </w:rPr>
        <w:t>资</w:t>
      </w:r>
      <w:r>
        <w:rPr>
          <w:rFonts w:hint="eastAsia" w:eastAsia="仿宋" w:asciiTheme="minorHAnsi" w:hAnsiTheme="minorHAnsi"/>
          <w:b/>
          <w:bCs/>
          <w:kern w:val="2"/>
          <w:sz w:val="28"/>
          <w:szCs w:val="28"/>
          <w:highlight w:val="none"/>
          <w:lang w:eastAsia="zh-CN"/>
        </w:rPr>
        <w:t>产评估报告摘要</w:t>
      </w:r>
      <w:bookmarkEnd w:id="1"/>
      <w:bookmarkEnd w:id="2"/>
    </w:p>
    <w:p>
      <w:pPr>
        <w:shd w:val="clear"/>
        <w:adjustRightInd w:val="0"/>
        <w:snapToGrid w:val="0"/>
        <w:spacing w:after="100" w:line="240" w:lineRule="auto"/>
        <w:jc w:val="center"/>
        <w:rPr>
          <w:rFonts w:eastAsia="仿宋" w:asciiTheme="minorHAnsi" w:hAnsiTheme="minorHAnsi"/>
          <w:spacing w:val="18"/>
          <w:sz w:val="21"/>
          <w:szCs w:val="21"/>
          <w:highlight w:val="none"/>
          <w:lang w:eastAsia="zh-CN"/>
        </w:rPr>
      </w:pPr>
      <w:r>
        <w:rPr>
          <w:rFonts w:hint="eastAsia" w:eastAsia="仿宋" w:asciiTheme="minorHAnsi" w:hAnsiTheme="minorHAnsi"/>
          <w:spacing w:val="18"/>
          <w:sz w:val="21"/>
          <w:szCs w:val="21"/>
          <w:highlight w:val="none"/>
          <w:lang w:eastAsia="zh-CN"/>
        </w:rPr>
        <w:t>鹏信资估报字[</w:t>
      </w:r>
      <w:r>
        <w:rPr>
          <w:rFonts w:hint="eastAsia" w:ascii="Calibri" w:hAnsi="Calibri" w:eastAsia="仿宋"/>
          <w:spacing w:val="18"/>
          <w:sz w:val="21"/>
          <w:szCs w:val="21"/>
          <w:highlight w:val="none"/>
          <w:lang w:eastAsia="zh-CN"/>
        </w:rPr>
        <w:t>2024</w:t>
      </w:r>
      <w:r>
        <w:rPr>
          <w:rFonts w:hint="eastAsia" w:eastAsia="仿宋" w:asciiTheme="minorHAnsi" w:hAnsiTheme="minorHAnsi"/>
          <w:spacing w:val="18"/>
          <w:sz w:val="21"/>
          <w:szCs w:val="21"/>
          <w:highlight w:val="none"/>
          <w:lang w:eastAsia="zh-CN"/>
        </w:rPr>
        <w:t>]第YKM</w:t>
      </w:r>
      <w:r>
        <w:rPr>
          <w:rFonts w:hint="eastAsia" w:ascii="Calibri" w:hAnsi="Calibri" w:eastAsia="仿宋"/>
          <w:spacing w:val="18"/>
          <w:sz w:val="21"/>
          <w:szCs w:val="21"/>
          <w:highlight w:val="none"/>
          <w:lang w:eastAsia="zh-CN"/>
        </w:rPr>
        <w:t>004</w:t>
      </w:r>
      <w:r>
        <w:rPr>
          <w:rFonts w:hint="eastAsia" w:eastAsia="仿宋" w:asciiTheme="minorHAnsi" w:hAnsiTheme="minorHAnsi"/>
          <w:spacing w:val="18"/>
          <w:sz w:val="21"/>
          <w:szCs w:val="21"/>
          <w:highlight w:val="none"/>
          <w:lang w:eastAsia="zh-CN"/>
        </w:rPr>
        <w:t>号</w:t>
      </w:r>
    </w:p>
    <w:tbl>
      <w:tblPr>
        <w:tblStyle w:val="7"/>
        <w:tblW w:w="8130" w:type="dxa"/>
        <w:tblInd w:w="39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2F2F2"/>
        <w:tblLayout w:type="fixed"/>
        <w:tblCellMar>
          <w:top w:w="0" w:type="dxa"/>
          <w:left w:w="108" w:type="dxa"/>
          <w:bottom w:w="0" w:type="dxa"/>
          <w:right w:w="108" w:type="dxa"/>
        </w:tblCellMar>
      </w:tblPr>
      <w:tblGrid>
        <w:gridCol w:w="81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2F2F2"/>
          <w:tblCellMar>
            <w:top w:w="0" w:type="dxa"/>
            <w:left w:w="108" w:type="dxa"/>
            <w:bottom w:w="0" w:type="dxa"/>
            <w:right w:w="108" w:type="dxa"/>
          </w:tblCellMar>
        </w:tblPrEx>
        <w:tc>
          <w:tcPr>
            <w:tcW w:w="8130" w:type="dxa"/>
            <w:shd w:val="clear" w:color="auto" w:fill="F2F2F2"/>
          </w:tcPr>
          <w:p>
            <w:pPr>
              <w:spacing w:after="0" w:line="0" w:lineRule="atLeast"/>
              <w:jc w:val="both"/>
              <w:rPr>
                <w:rFonts w:ascii="华文楷体" w:hAnsi="华文楷体" w:eastAsia="华文楷体" w:cs="Arial"/>
                <w:color w:val="000000"/>
                <w:szCs w:val="21"/>
                <w:lang w:eastAsia="zh-CN"/>
              </w:rPr>
            </w:pPr>
            <w:r>
              <w:rPr>
                <w:rFonts w:hint="eastAsia" w:eastAsia="仿宋" w:cs="Arial" w:asciiTheme="minorHAnsi" w:hAnsiTheme="minorHAnsi"/>
                <w:b/>
                <w:color w:val="000000"/>
                <w:sz w:val="21"/>
                <w:szCs w:val="21"/>
                <w:lang w:eastAsia="zh-CN"/>
              </w:rPr>
              <w:t>谨提请本资产评估报告摘要之使用者和阅读者注意</w:t>
            </w:r>
            <w:r>
              <w:rPr>
                <w:rFonts w:hint="eastAsia" w:eastAsia="仿宋" w:cs="Arial" w:asciiTheme="minorHAnsi" w:hAnsiTheme="minorHAnsi"/>
                <w:color w:val="000000"/>
                <w:sz w:val="21"/>
                <w:szCs w:val="21"/>
                <w:lang w:eastAsia="zh-CN"/>
              </w:rPr>
              <w:t>：本资产评估报告摘要之内容摘自资产评估报告正文，欲了解本评估项目的详细情况和合理理解评估结论，应当详细阅读资产评估报告全文。</w:t>
            </w:r>
          </w:p>
        </w:tc>
      </w:tr>
    </w:tbl>
    <w:p>
      <w:pPr>
        <w:widowControl w:val="0"/>
        <w:spacing w:before="156" w:beforeLines="50" w:after="0" w:line="240" w:lineRule="auto"/>
        <w:ind w:firstLine="504" w:firstLineChars="200"/>
        <w:jc w:val="both"/>
        <w:rPr>
          <w:rFonts w:ascii="Calibri" w:hAnsi="Calibri" w:eastAsia="仿宋"/>
          <w:sz w:val="24"/>
          <w:szCs w:val="24"/>
          <w:lang w:eastAsia="zh-CN"/>
        </w:rPr>
      </w:pPr>
      <w:r>
        <w:rPr>
          <w:rFonts w:hint="eastAsia" w:ascii="Calibri" w:hAnsi="Calibri" w:eastAsia="仿宋"/>
          <w:spacing w:val="6"/>
          <w:sz w:val="24"/>
          <w:szCs w:val="24"/>
          <w:lang w:eastAsia="zh-CN"/>
        </w:rPr>
        <w:t>深圳市鹏信资产评估土地房地产估价有限公司接受曲靖市麒麟区自然资源局</w:t>
      </w:r>
      <w:r>
        <w:rPr>
          <w:rFonts w:hint="eastAsia" w:ascii="Calibri" w:hAnsi="Calibri" w:eastAsia="仿宋"/>
          <w:spacing w:val="6"/>
          <w:sz w:val="24"/>
          <w:szCs w:val="24"/>
          <w:lang w:val="en-US" w:eastAsia="zh-CN"/>
        </w:rPr>
        <w:t>的委托</w:t>
      </w:r>
      <w:r>
        <w:rPr>
          <w:rFonts w:hint="eastAsia" w:ascii="Calibri" w:hAnsi="Calibri" w:eastAsia="仿宋"/>
          <w:spacing w:val="6"/>
          <w:sz w:val="24"/>
          <w:szCs w:val="24"/>
          <w:lang w:eastAsia="zh-CN"/>
        </w:rPr>
        <w:t>，就曲靖市麒麟区自然资源局拟对曲靖市健锐石业有限公司采矿权进行竞争性出让之经济行为所涉及的曲靖市健锐石业有限公司采矿权涉矿相关资产</w:t>
      </w:r>
      <w:r>
        <w:rPr>
          <w:rFonts w:hint="eastAsia" w:ascii="仿宋" w:hAnsi="仿宋" w:eastAsia="仿宋"/>
          <w:spacing w:val="6"/>
          <w:sz w:val="24"/>
          <w:szCs w:val="24"/>
          <w:lang w:eastAsia="zh-CN"/>
        </w:rPr>
        <w:t>在评估基准日的市场价值进行了评估</w:t>
      </w:r>
      <w:r>
        <w:rPr>
          <w:rFonts w:hint="eastAsia" w:ascii="Calibri" w:hAnsi="Calibri" w:eastAsia="仿宋"/>
          <w:spacing w:val="6"/>
          <w:sz w:val="24"/>
          <w:szCs w:val="24"/>
          <w:lang w:eastAsia="zh-CN"/>
        </w:rPr>
        <w:t>，现将评估报告正文的相关内容摘要如下：</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一、评估目的：</w:t>
      </w:r>
      <w:r>
        <w:rPr>
          <w:rFonts w:hint="eastAsia" w:ascii="Calibri" w:hAnsi="Calibri" w:eastAsia="仿宋"/>
          <w:spacing w:val="6"/>
          <w:sz w:val="24"/>
          <w:szCs w:val="24"/>
          <w:lang w:eastAsia="zh-CN"/>
        </w:rPr>
        <w:t>曲靖市麒麟区自然资源局</w:t>
      </w:r>
      <w:r>
        <w:rPr>
          <w:rFonts w:hint="eastAsia" w:ascii="Calibri" w:hAnsi="Calibri" w:eastAsia="仿宋"/>
          <w:sz w:val="24"/>
          <w:szCs w:val="24"/>
          <w:lang w:eastAsia="zh-CN"/>
        </w:rPr>
        <w:t>拟对“曲靖市健锐石业有限公司采矿权”进行竞争性出让，为此，</w:t>
      </w:r>
      <w:r>
        <w:rPr>
          <w:rFonts w:hint="eastAsia" w:ascii="Calibri" w:hAnsi="Calibri" w:eastAsia="仿宋"/>
          <w:spacing w:val="6"/>
          <w:sz w:val="24"/>
          <w:szCs w:val="24"/>
          <w:lang w:eastAsia="zh-CN"/>
        </w:rPr>
        <w:t>曲靖市麒麟区自然资源局</w:t>
      </w:r>
      <w:r>
        <w:rPr>
          <w:rFonts w:hint="eastAsia" w:ascii="Calibri" w:hAnsi="Calibri" w:eastAsia="仿宋"/>
          <w:sz w:val="24"/>
          <w:szCs w:val="24"/>
          <w:lang w:eastAsia="zh-CN"/>
        </w:rPr>
        <w:t>委托深圳市鹏信资产评估土地房地产估价有限公司对此经济行为涉及的曲靖市健锐石业有限公司采矿权涉矿相关资产的价值进行评估，为上述经济行为提供价值参考。</w:t>
      </w:r>
    </w:p>
    <w:p>
      <w:pPr>
        <w:widowControl w:val="0"/>
        <w:spacing w:before="156" w:beforeLines="50" w:after="0" w:line="240" w:lineRule="auto"/>
        <w:ind w:firstLine="480" w:firstLineChars="200"/>
        <w:jc w:val="both"/>
        <w:rPr>
          <w:rFonts w:ascii="仿宋" w:hAnsi="仿宋" w:eastAsia="仿宋"/>
          <w:sz w:val="24"/>
          <w:lang w:eastAsia="zh-CN"/>
        </w:rPr>
      </w:pPr>
      <w:r>
        <w:rPr>
          <w:rFonts w:hint="eastAsia" w:ascii="Calibri" w:hAnsi="Calibri" w:eastAsia="仿宋"/>
          <w:sz w:val="24"/>
          <w:szCs w:val="24"/>
          <w:lang w:eastAsia="zh-CN"/>
        </w:rPr>
        <w:t>二、评估对象：曲靖市健锐石业有限公司采矿权涉矿相关资产</w:t>
      </w:r>
      <w:r>
        <w:rPr>
          <w:rFonts w:hint="eastAsia" w:ascii="仿宋" w:hAnsi="仿宋" w:eastAsia="仿宋"/>
          <w:sz w:val="24"/>
          <w:highlight w:val="none"/>
          <w:lang w:eastAsia="zh-CN"/>
        </w:rPr>
        <w:t>;</w:t>
      </w:r>
      <w:r>
        <w:rPr>
          <w:rFonts w:hint="eastAsia" w:ascii="仿宋" w:hAnsi="仿宋" w:eastAsia="仿宋"/>
          <w:sz w:val="24"/>
          <w:lang w:eastAsia="zh-CN"/>
        </w:rPr>
        <w:t>评估范围：</w:t>
      </w:r>
      <w:r>
        <w:rPr>
          <w:rFonts w:hint="eastAsia" w:ascii="仿宋" w:hAnsi="仿宋" w:eastAsia="仿宋"/>
          <w:sz w:val="24"/>
          <w:lang w:val="en-US" w:eastAsia="zh-CN"/>
        </w:rPr>
        <w:t>曲靖市曲靖市健锐石业有限公司</w:t>
      </w:r>
      <w:r>
        <w:rPr>
          <w:rFonts w:hint="eastAsia" w:ascii="仿宋" w:hAnsi="仿宋" w:eastAsia="仿宋"/>
          <w:sz w:val="24"/>
          <w:lang w:eastAsia="zh-CN"/>
        </w:rPr>
        <w:t>持有的</w:t>
      </w:r>
      <w:r>
        <w:rPr>
          <w:rFonts w:hint="eastAsia" w:ascii="仿宋" w:hAnsi="仿宋" w:eastAsia="仿宋"/>
          <w:spacing w:val="-6"/>
          <w:sz w:val="24"/>
          <w:lang w:val="en-US" w:eastAsia="zh-CN"/>
        </w:rPr>
        <w:t>产成品、</w:t>
      </w:r>
      <w:r>
        <w:rPr>
          <w:rFonts w:hint="eastAsia" w:ascii="仿宋" w:hAnsi="仿宋" w:eastAsia="仿宋"/>
          <w:sz w:val="24"/>
          <w:lang w:eastAsia="zh-CN"/>
        </w:rPr>
        <w:t>房屋类建筑物、构筑物类建筑物、机械类设备等涉矿相关资产，详见评估明细表。</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三、评估基准日：</w:t>
      </w:r>
      <w:r>
        <w:rPr>
          <w:rFonts w:hint="eastAsia" w:ascii="Calibri" w:hAnsi="Calibri" w:eastAsia="仿宋" w:cs="Calibri"/>
          <w:sz w:val="24"/>
          <w:szCs w:val="24"/>
          <w:lang w:eastAsia="zh-CN"/>
        </w:rPr>
        <w:t>2023年10月31日</w:t>
      </w:r>
      <w:r>
        <w:rPr>
          <w:rFonts w:hint="eastAsia" w:ascii="Calibri" w:hAnsi="Calibri" w:eastAsia="仿宋"/>
          <w:sz w:val="24"/>
          <w:szCs w:val="24"/>
          <w:lang w:eastAsia="zh-CN"/>
        </w:rPr>
        <w:t>。</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四、价值类型：市场价值。</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五、评估方法：本次评估根据涉矿相关资产的具体情况采用成本法进行评估，并对涉矿相关资产的评估结果进行汇总，以此确定市场价值。</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六、评估结论：</w:t>
      </w:r>
    </w:p>
    <w:p>
      <w:pPr>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采用成本法评估</w:t>
      </w:r>
      <w:r>
        <w:rPr>
          <w:rFonts w:hint="eastAsia" w:ascii="Calibri" w:hAnsi="Calibri" w:eastAsia="仿宋"/>
          <w:spacing w:val="6"/>
          <w:sz w:val="24"/>
          <w:szCs w:val="24"/>
          <w:lang w:eastAsia="zh-CN"/>
        </w:rPr>
        <w:t>曲靖市麒麟区自然资源局</w:t>
      </w:r>
      <w:r>
        <w:rPr>
          <w:rFonts w:hint="eastAsia" w:ascii="Calibri" w:hAnsi="Calibri" w:eastAsia="仿宋"/>
          <w:sz w:val="24"/>
          <w:szCs w:val="24"/>
          <w:lang w:eastAsia="zh-CN"/>
        </w:rPr>
        <w:t>拟对“</w:t>
      </w:r>
      <w:r>
        <w:rPr>
          <w:rFonts w:hint="eastAsia" w:ascii="Calibri" w:hAnsi="Calibri" w:eastAsia="仿宋"/>
          <w:spacing w:val="6"/>
          <w:sz w:val="24"/>
          <w:szCs w:val="24"/>
          <w:lang w:eastAsia="zh-CN"/>
        </w:rPr>
        <w:t>曲靖市健锐石业有限公司采矿权</w:t>
      </w:r>
      <w:r>
        <w:rPr>
          <w:rFonts w:hint="eastAsia" w:ascii="Calibri" w:hAnsi="Calibri" w:eastAsia="仿宋"/>
          <w:sz w:val="24"/>
          <w:szCs w:val="24"/>
          <w:lang w:eastAsia="zh-CN"/>
        </w:rPr>
        <w:t>”进行竞争性出让</w:t>
      </w:r>
      <w:r>
        <w:rPr>
          <w:rFonts w:hint="eastAsia" w:ascii="Calibri" w:hAnsi="Calibri" w:eastAsia="仿宋"/>
          <w:sz w:val="24"/>
          <w:szCs w:val="24"/>
          <w:lang w:val="en-US" w:eastAsia="zh-CN"/>
        </w:rPr>
        <w:t>之经济行为</w:t>
      </w:r>
      <w:r>
        <w:rPr>
          <w:rFonts w:hint="eastAsia" w:ascii="Calibri" w:hAnsi="Calibri" w:eastAsia="仿宋"/>
          <w:sz w:val="24"/>
          <w:szCs w:val="24"/>
          <w:lang w:eastAsia="zh-CN"/>
        </w:rPr>
        <w:t>所涉及的</w:t>
      </w:r>
      <w:r>
        <w:rPr>
          <w:rFonts w:hint="eastAsia" w:ascii="Calibri" w:hAnsi="Calibri" w:eastAsia="仿宋"/>
          <w:spacing w:val="6"/>
          <w:sz w:val="24"/>
          <w:szCs w:val="24"/>
          <w:lang w:eastAsia="zh-CN"/>
        </w:rPr>
        <w:t>曲靖市健锐石业有限公司采矿权</w:t>
      </w:r>
      <w:r>
        <w:rPr>
          <w:rFonts w:hint="eastAsia" w:ascii="Calibri" w:hAnsi="Calibri" w:eastAsia="仿宋"/>
          <w:sz w:val="24"/>
          <w:szCs w:val="24"/>
          <w:lang w:eastAsia="zh-CN"/>
        </w:rPr>
        <w:t>涉矿相关资产市场价值于评估基准日的评估值为：785.40万元人民币(大写：人民币【柒佰捌拾伍万肆仟】元整</w:t>
      </w:r>
      <w:r>
        <w:rPr>
          <w:rFonts w:hint="eastAsia" w:ascii="Calibri" w:hAnsi="Calibri" w:eastAsia="仿宋"/>
          <w:sz w:val="24"/>
          <w:szCs w:val="24"/>
          <w:highlight w:val="none"/>
          <w:lang w:eastAsia="zh-CN"/>
        </w:rPr>
        <w:t>)。</w:t>
      </w:r>
    </w:p>
    <w:p>
      <w:pPr>
        <w:spacing w:before="156" w:beforeLines="50" w:after="0" w:line="240" w:lineRule="auto"/>
        <w:ind w:firstLine="480" w:firstLineChars="200"/>
        <w:jc w:val="both"/>
        <w:rPr>
          <w:rFonts w:hint="eastAsia" w:ascii="Calibri" w:hAnsi="Calibri" w:eastAsia="仿宋"/>
          <w:sz w:val="24"/>
          <w:szCs w:val="24"/>
          <w:lang w:eastAsia="zh-CN"/>
        </w:rPr>
      </w:pPr>
      <w:r>
        <w:rPr>
          <w:rFonts w:hint="eastAsia" w:ascii="Calibri" w:hAnsi="Calibri" w:eastAsia="仿宋"/>
          <w:sz w:val="24"/>
          <w:szCs w:val="24"/>
          <w:lang w:eastAsia="zh-CN"/>
        </w:rPr>
        <w:t>评估结论使用有效期：通常情况下，评估结论的使用有效期自评估基准日</w:t>
      </w:r>
      <w:r>
        <w:rPr>
          <w:rFonts w:hint="eastAsia" w:ascii="Calibri" w:hAnsi="Calibri" w:eastAsia="仿宋" w:cs="Calibri"/>
          <w:sz w:val="24"/>
          <w:szCs w:val="24"/>
          <w:lang w:eastAsia="zh-CN"/>
        </w:rPr>
        <w:t>2023年10月31日</w:t>
      </w:r>
      <w:r>
        <w:rPr>
          <w:rFonts w:hint="eastAsia" w:ascii="Calibri" w:hAnsi="Calibri" w:eastAsia="仿宋"/>
          <w:sz w:val="24"/>
          <w:szCs w:val="24"/>
          <w:lang w:eastAsia="zh-CN"/>
        </w:rPr>
        <w:t>至</w:t>
      </w:r>
      <w:r>
        <w:rPr>
          <w:rFonts w:hint="default" w:ascii="Calibri" w:hAnsi="Calibri" w:eastAsia="仿宋" w:cs="Calibri"/>
          <w:sz w:val="24"/>
          <w:szCs w:val="24"/>
          <w:lang w:eastAsia="zh-CN"/>
        </w:rPr>
        <w:t>202</w:t>
      </w:r>
      <w:r>
        <w:rPr>
          <w:rFonts w:hint="eastAsia" w:ascii="Calibri" w:hAnsi="Calibri" w:eastAsia="仿宋" w:cs="Calibri"/>
          <w:sz w:val="24"/>
          <w:szCs w:val="24"/>
          <w:lang w:val="en-US" w:eastAsia="zh-CN"/>
        </w:rPr>
        <w:t>4</w:t>
      </w:r>
      <w:r>
        <w:rPr>
          <w:rFonts w:hint="eastAsia" w:ascii="Calibri" w:hAnsi="Calibri" w:eastAsia="仿宋"/>
          <w:sz w:val="24"/>
          <w:szCs w:val="24"/>
          <w:lang w:eastAsia="zh-CN"/>
        </w:rPr>
        <w:t>年</w:t>
      </w:r>
      <w:r>
        <w:rPr>
          <w:rFonts w:hint="eastAsia" w:ascii="Calibri" w:hAnsi="Calibri" w:eastAsia="仿宋" w:cs="Calibri"/>
          <w:sz w:val="24"/>
          <w:szCs w:val="24"/>
          <w:lang w:val="en-US" w:eastAsia="zh-CN"/>
        </w:rPr>
        <w:t>10</w:t>
      </w:r>
      <w:r>
        <w:rPr>
          <w:rFonts w:hint="eastAsia" w:ascii="Calibri" w:hAnsi="Calibri" w:eastAsia="仿宋"/>
          <w:sz w:val="24"/>
          <w:szCs w:val="24"/>
          <w:lang w:eastAsia="zh-CN"/>
        </w:rPr>
        <w:t>月</w:t>
      </w:r>
      <w:r>
        <w:rPr>
          <w:rFonts w:hint="eastAsia" w:ascii="Calibri" w:hAnsi="Calibri" w:eastAsia="仿宋" w:cs="Calibri"/>
          <w:sz w:val="24"/>
          <w:szCs w:val="24"/>
          <w:lang w:val="en-US" w:eastAsia="zh-CN"/>
        </w:rPr>
        <w:t>30</w:t>
      </w:r>
      <w:r>
        <w:rPr>
          <w:rFonts w:hint="eastAsia" w:ascii="Calibri" w:hAnsi="Calibri" w:eastAsia="仿宋"/>
          <w:sz w:val="24"/>
          <w:szCs w:val="24"/>
          <w:lang w:eastAsia="zh-CN"/>
        </w:rPr>
        <w:t>日止。</w:t>
      </w:r>
    </w:p>
    <w:p>
      <w:pPr>
        <w:widowControl w:val="0"/>
        <w:numPr>
          <w:ilvl w:val="0"/>
          <w:numId w:val="1"/>
        </w:numPr>
        <w:spacing w:before="156" w:beforeLines="50" w:after="0" w:line="240" w:lineRule="auto"/>
        <w:ind w:firstLine="480" w:firstLineChars="200"/>
        <w:jc w:val="both"/>
        <w:rPr>
          <w:rFonts w:hint="eastAsia" w:ascii="Calibri" w:hAnsi="Calibri" w:eastAsia="仿宋"/>
          <w:sz w:val="24"/>
          <w:szCs w:val="24"/>
          <w:lang w:val="en-US" w:eastAsia="zh-CN"/>
        </w:rPr>
      </w:pPr>
      <w:r>
        <w:rPr>
          <w:rFonts w:hint="eastAsia" w:ascii="Calibri" w:hAnsi="Calibri" w:eastAsia="仿宋"/>
          <w:sz w:val="24"/>
          <w:szCs w:val="24"/>
          <w:lang w:val="en-US" w:eastAsia="zh-CN"/>
        </w:rPr>
        <w:t>特别事项说明：</w:t>
      </w:r>
    </w:p>
    <w:p>
      <w:pPr>
        <w:spacing w:before="156" w:beforeLines="50" w:after="0" w:line="240" w:lineRule="auto"/>
        <w:ind w:firstLine="480" w:firstLineChars="200"/>
        <w:jc w:val="both"/>
        <w:rPr>
          <w:rFonts w:hint="default" w:ascii="Calibri" w:hAnsi="Calibri" w:eastAsia="仿宋"/>
          <w:sz w:val="24"/>
          <w:szCs w:val="24"/>
          <w:lang w:val="en-US" w:eastAsia="zh-CN"/>
        </w:rPr>
      </w:pPr>
      <w:r>
        <w:rPr>
          <w:rFonts w:hint="eastAsia" w:ascii="Calibri" w:hAnsi="Calibri" w:eastAsia="仿宋" w:cs="Calibri"/>
          <w:b w:val="0"/>
          <w:bCs/>
          <w:sz w:val="24"/>
          <w:szCs w:val="24"/>
          <w:lang w:val="en-US" w:eastAsia="zh-CN"/>
        </w:rPr>
        <w:t>1.本次评估中，曲靖市健锐石业有限公司所租用兴龙村委会土地的土地承包费，协议约定年租金330,000.00元，租金按年支付，产权持有单位未缴纳2023年度的土地租金，提请报告使用者关注此项债务</w:t>
      </w:r>
      <w:r>
        <w:rPr>
          <w:rFonts w:hint="eastAsia" w:eastAsia="仿宋" w:asciiTheme="minorHAnsi" w:hAnsiTheme="minorHAnsi"/>
          <w:b w:val="0"/>
          <w:bCs/>
          <w:sz w:val="24"/>
          <w:szCs w:val="24"/>
          <w:highlight w:val="none"/>
          <w:lang w:val="en-US" w:eastAsia="zh-CN"/>
        </w:rPr>
        <w:t>！</w:t>
      </w:r>
    </w:p>
    <w:p>
      <w:pPr>
        <w:widowControl w:val="0"/>
        <w:spacing w:before="156" w:beforeLines="50" w:after="0" w:line="240" w:lineRule="auto"/>
        <w:ind w:firstLine="480" w:firstLineChars="200"/>
        <w:jc w:val="both"/>
        <w:rPr>
          <w:rFonts w:hint="eastAsia" w:ascii="Calibri" w:hAnsi="Calibri" w:eastAsia="仿宋" w:cs="Calibri"/>
          <w:sz w:val="24"/>
          <w:szCs w:val="24"/>
          <w:lang w:val="en-US" w:eastAsia="zh-CN" w:bidi="en-US"/>
        </w:rPr>
      </w:pPr>
      <w:r>
        <w:rPr>
          <w:rFonts w:hint="eastAsia" w:ascii="Calibri" w:hAnsi="Calibri" w:eastAsia="仿宋" w:cs="Calibri"/>
          <w:sz w:val="24"/>
          <w:szCs w:val="24"/>
          <w:lang w:val="en-US" w:eastAsia="zh-CN"/>
        </w:rPr>
        <w:t>2</w:t>
      </w:r>
      <w:r>
        <w:rPr>
          <w:rFonts w:hint="eastAsia" w:ascii="Calibri" w:hAnsi="Calibri" w:eastAsia="仿宋" w:cs="Calibri"/>
          <w:sz w:val="24"/>
          <w:szCs w:val="24"/>
          <w:lang w:eastAsia="zh-CN"/>
        </w:rPr>
        <w:t>.本次评估中，产权持有单位另行委托曲靖正矩测绘有限公司对其持有的产成品数量进行了测量，并出具了《采石场方量测量计算报告》，产权持有单位根据该报告的产成品数量进行了申报评估，产权持有单位对其提供资料的真实性、完整性负责；评估机构及资产评估师对在此基础上形成的评估结果承担法律责任</w:t>
      </w:r>
      <w:r>
        <w:rPr>
          <w:rFonts w:hint="eastAsia" w:ascii="Calibri" w:hAnsi="Calibri" w:eastAsia="仿宋" w:cs="Calibri"/>
          <w:sz w:val="24"/>
          <w:szCs w:val="24"/>
          <w:lang w:val="en-US" w:eastAsia="zh-CN" w:bidi="en-US"/>
        </w:rPr>
        <w:t>！</w:t>
      </w:r>
    </w:p>
    <w:p>
      <w:pPr>
        <w:widowControl w:val="0"/>
        <w:spacing w:before="156" w:beforeLines="50" w:after="0" w:line="240" w:lineRule="auto"/>
        <w:ind w:firstLine="482" w:firstLineChars="200"/>
        <w:jc w:val="both"/>
      </w:pPr>
      <w:bookmarkStart w:id="3" w:name="_GoBack"/>
      <w:bookmarkEnd w:id="3"/>
      <w:r>
        <w:rPr>
          <w:rFonts w:hint="eastAsia" w:ascii="Calibri" w:hAnsi="Calibri" w:eastAsia="仿宋"/>
          <w:b/>
          <w:bCs/>
          <w:sz w:val="24"/>
          <w:szCs w:val="24"/>
          <w:lang w:eastAsia="zh-CN"/>
        </w:rPr>
        <w:t>谨提请本资产评估报告使用人注意：以上内容摘自资产评估报告正文，欲了解本评估业务的详细情况和正确理解评估结论，应当阅读资产评估报告正文。</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楷体">
    <w:altName w:val="宋体"/>
    <w:panose1 w:val="02010609000101010101"/>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6" w:space="7"/>
      </w:pBdr>
      <w:jc w:val="both"/>
      <w:rPr>
        <w:rFonts w:eastAsia="华文仿宋" w:asciiTheme="minorHAnsi" w:hAnsiTheme="minorHAnsi"/>
        <w:lang w:eastAsia="zh-CN"/>
      </w:rPr>
    </w:pPr>
    <w:r>
      <w:rPr>
        <w:rFonts w:eastAsia="华文仿宋" w:asciiTheme="minorHAnsi" w:hAnsiTheme="minorHAnsi"/>
        <w:lang w:eastAsia="zh-CN"/>
      </w:rPr>
      <w:t>©</w:t>
    </w:r>
    <w:r>
      <w:rPr>
        <w:rFonts w:hint="eastAsia" w:eastAsia="华文仿宋" w:asciiTheme="minorHAnsi" w:hAnsiTheme="minorHAnsi"/>
        <w:lang w:eastAsia="zh-CN"/>
      </w:rPr>
      <w:t xml:space="preserve">深圳市鹏信资产评估土地房地产估价有限公司                                               </w:t>
    </w:r>
    <w:r>
      <w:rPr>
        <w:rFonts w:hint="eastAsia" w:ascii="Calibri" w:hAnsi="Calibri" w:eastAsia="华文仿宋"/>
        <w:lang w:val="en-US" w:eastAsia="zh-CN"/>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8522" w:type="dxa"/>
      <w:tblInd w:w="0" w:type="dxa"/>
      <w:tblLayout w:type="fixed"/>
      <w:tblCellMar>
        <w:top w:w="0" w:type="dxa"/>
        <w:left w:w="108" w:type="dxa"/>
        <w:bottom w:w="0" w:type="dxa"/>
        <w:right w:w="108" w:type="dxa"/>
      </w:tblCellMar>
    </w:tblPr>
    <w:tblGrid>
      <w:gridCol w:w="1096"/>
      <w:gridCol w:w="7426"/>
    </w:tblGrid>
    <w:tr>
      <w:tblPrEx>
        <w:tblCellMar>
          <w:top w:w="0" w:type="dxa"/>
          <w:left w:w="108" w:type="dxa"/>
          <w:bottom w:w="0" w:type="dxa"/>
          <w:right w:w="108" w:type="dxa"/>
        </w:tblCellMar>
      </w:tblPrEx>
      <w:tc>
        <w:tcPr>
          <w:tcW w:w="1096" w:type="dxa"/>
          <w:vMerge w:val="restart"/>
          <w:vAlign w:val="center"/>
        </w:tcPr>
        <w:p>
          <w:pPr>
            <w:pStyle w:val="6"/>
            <w:pBdr>
              <w:bottom w:val="none" w:color="auto" w:sz="0" w:space="0"/>
            </w:pBdr>
            <w:spacing w:after="0" w:line="0" w:lineRule="atLeast"/>
            <w:jc w:val="left"/>
            <w:rPr>
              <w:rFonts w:ascii="Calibri" w:hAnsi="Calibri" w:eastAsia="华文中宋"/>
              <w:sz w:val="15"/>
            </w:rPr>
          </w:pPr>
          <w:r>
            <w:rPr>
              <w:lang w:eastAsia="zh-CN" w:bidi="ar-SA"/>
            </w:rPr>
            <w:drawing>
              <wp:inline distT="0" distB="0" distL="0" distR="0">
                <wp:extent cx="444500" cy="452755"/>
                <wp:effectExtent l="0" t="0" r="12700" b="4445"/>
                <wp:docPr id="3" name="图片 9" descr="鹏信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鹏信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44500" cy="452755"/>
                        </a:xfrm>
                        <a:prstGeom prst="rect">
                          <a:avLst/>
                        </a:prstGeom>
                        <a:noFill/>
                        <a:ln>
                          <a:noFill/>
                        </a:ln>
                      </pic:spPr>
                    </pic:pic>
                  </a:graphicData>
                </a:graphic>
              </wp:inline>
            </w:drawing>
          </w:r>
        </w:p>
      </w:tc>
      <w:tc>
        <w:tcPr>
          <w:tcW w:w="7426" w:type="dxa"/>
          <w:vAlign w:val="top"/>
        </w:tcPr>
        <w:p>
          <w:pPr>
            <w:pStyle w:val="6"/>
            <w:pBdr>
              <w:bottom w:val="none" w:color="auto" w:sz="0" w:space="0"/>
            </w:pBdr>
            <w:spacing w:after="0" w:line="0" w:lineRule="atLeast"/>
            <w:jc w:val="right"/>
            <w:rPr>
              <w:rFonts w:ascii="Calibri" w:hAnsi="Calibri" w:eastAsia="仿宋"/>
              <w:lang w:eastAsia="zh-CN"/>
            </w:rPr>
          </w:pPr>
          <w:r>
            <w:rPr>
              <w:rFonts w:hint="eastAsia" w:ascii="Calibri" w:hAnsi="Calibri" w:eastAsia="仿宋"/>
              <w:lang w:eastAsia="zh-CN"/>
            </w:rPr>
            <w:t>曲靖市麒麟区自然资源局拟对</w:t>
          </w:r>
        </w:p>
      </w:tc>
    </w:tr>
    <w:tr>
      <w:tblPrEx>
        <w:tblCellMar>
          <w:top w:w="0" w:type="dxa"/>
          <w:left w:w="108" w:type="dxa"/>
          <w:bottom w:w="0" w:type="dxa"/>
          <w:right w:w="108" w:type="dxa"/>
        </w:tblCellMar>
      </w:tblPrEx>
      <w:tc>
        <w:tcPr>
          <w:tcW w:w="1096" w:type="dxa"/>
          <w:vMerge w:val="continue"/>
        </w:tcPr>
        <w:p>
          <w:pPr>
            <w:pStyle w:val="6"/>
            <w:pBdr>
              <w:bottom w:val="none" w:color="auto" w:sz="0" w:space="0"/>
            </w:pBdr>
            <w:spacing w:after="0" w:line="0" w:lineRule="atLeast"/>
            <w:jc w:val="both"/>
            <w:rPr>
              <w:rFonts w:ascii="Calibri" w:hAnsi="Calibri" w:eastAsia="华文中宋"/>
              <w:sz w:val="15"/>
              <w:lang w:eastAsia="zh-CN"/>
            </w:rPr>
          </w:pPr>
        </w:p>
      </w:tc>
      <w:tc>
        <w:tcPr>
          <w:tcW w:w="7426" w:type="dxa"/>
          <w:vAlign w:val="top"/>
        </w:tcPr>
        <w:p>
          <w:pPr>
            <w:pStyle w:val="6"/>
            <w:pBdr>
              <w:bottom w:val="none" w:color="auto" w:sz="0" w:space="0"/>
            </w:pBdr>
            <w:spacing w:after="0" w:line="0" w:lineRule="atLeast"/>
            <w:jc w:val="right"/>
            <w:rPr>
              <w:rFonts w:ascii="Calibri" w:hAnsi="Calibri" w:eastAsia="仿宋"/>
              <w:lang w:eastAsia="zh-CN"/>
            </w:rPr>
          </w:pPr>
          <w:r>
            <w:rPr>
              <w:rFonts w:hint="eastAsia" w:ascii="仿宋" w:hAnsi="仿宋" w:eastAsia="仿宋"/>
              <w:lang w:eastAsia="zh-CN"/>
            </w:rPr>
            <w:t>曲靖市健锐石业有限公司采矿权进行竞争性出让所涉及的</w:t>
          </w:r>
        </w:p>
      </w:tc>
    </w:tr>
    <w:tr>
      <w:tblPrEx>
        <w:tblCellMar>
          <w:top w:w="0" w:type="dxa"/>
          <w:left w:w="108" w:type="dxa"/>
          <w:bottom w:w="0" w:type="dxa"/>
          <w:right w:w="108" w:type="dxa"/>
        </w:tblCellMar>
      </w:tblPrEx>
      <w:tc>
        <w:tcPr>
          <w:tcW w:w="1096" w:type="dxa"/>
          <w:vMerge w:val="continue"/>
        </w:tcPr>
        <w:p>
          <w:pPr>
            <w:pStyle w:val="6"/>
            <w:pBdr>
              <w:bottom w:val="none" w:color="auto" w:sz="0" w:space="0"/>
            </w:pBdr>
            <w:spacing w:after="0" w:line="0" w:lineRule="atLeast"/>
            <w:jc w:val="both"/>
            <w:rPr>
              <w:rFonts w:ascii="Calibri" w:hAnsi="Calibri" w:eastAsia="华文中宋"/>
              <w:sz w:val="15"/>
              <w:lang w:eastAsia="zh-CN"/>
            </w:rPr>
          </w:pPr>
        </w:p>
      </w:tc>
      <w:tc>
        <w:tcPr>
          <w:tcW w:w="7426" w:type="dxa"/>
          <w:vAlign w:val="top"/>
        </w:tcPr>
        <w:p>
          <w:pPr>
            <w:pStyle w:val="6"/>
            <w:pBdr>
              <w:bottom w:val="none" w:color="auto" w:sz="0" w:space="0"/>
            </w:pBdr>
            <w:spacing w:after="0" w:line="0" w:lineRule="atLeast"/>
            <w:jc w:val="right"/>
            <w:rPr>
              <w:rFonts w:ascii="Calibri" w:hAnsi="Calibri" w:eastAsia="仿宋"/>
              <w:lang w:eastAsia="zh-CN"/>
            </w:rPr>
          </w:pPr>
          <w:r>
            <w:rPr>
              <w:rFonts w:hint="eastAsia" w:ascii="仿宋" w:hAnsi="仿宋" w:eastAsia="仿宋"/>
              <w:lang w:eastAsia="zh-CN"/>
            </w:rPr>
            <w:t>曲靖市健锐石业有限公司采矿权涉矿相关资产市场价值资产</w:t>
          </w:r>
          <w:r>
            <w:rPr>
              <w:rFonts w:hint="eastAsia" w:ascii="Calibri" w:hAnsi="Calibri" w:eastAsia="仿宋"/>
              <w:lang w:eastAsia="zh-CN"/>
            </w:rPr>
            <w:t>评估报告·摘要</w:t>
          </w:r>
        </w:p>
      </w:tc>
    </w:tr>
  </w:tbl>
  <w:p>
    <w:pPr>
      <w:pStyle w:val="6"/>
      <w:spacing w:after="0" w:line="0" w:lineRule="atLeast"/>
      <w:jc w:val="both"/>
      <w:rPr>
        <w:sz w:val="10"/>
        <w:szCs w:val="1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5D63FB"/>
    <w:multiLevelType w:val="singleLevel"/>
    <w:tmpl w:val="BF5D63FB"/>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3NjZjOTNiODlhYjY4ZjIyNjUxZTZlNzE1ZWYxMTQifQ=="/>
  </w:docVars>
  <w:rsids>
    <w:rsidRoot w:val="00000000"/>
    <w:rsid w:val="174823A2"/>
    <w:rsid w:val="55194F4E"/>
    <w:rsid w:val="5D952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Cambria" w:hAnsi="Cambria" w:eastAsia="宋体" w:cs="Times New Roman"/>
      <w:sz w:val="22"/>
      <w:szCs w:val="22"/>
      <w:lang w:val="en-US" w:eastAsia="en-US" w:bidi="en-US"/>
    </w:rPr>
  </w:style>
  <w:style w:type="paragraph" w:styleId="3">
    <w:name w:val="heading 1"/>
    <w:basedOn w:val="1"/>
    <w:next w:val="1"/>
    <w:qFormat/>
    <w:uiPriority w:val="9"/>
    <w:pPr>
      <w:spacing w:before="480" w:after="0"/>
      <w:contextualSpacing/>
      <w:outlineLvl w:val="0"/>
    </w:pPr>
    <w:rPr>
      <w:smallCaps/>
      <w:spacing w:val="5"/>
      <w:sz w:val="36"/>
      <w:szCs w:val="36"/>
    </w:rPr>
  </w:style>
  <w:style w:type="character" w:default="1" w:styleId="8">
    <w:name w:val="Default Paragraph Font"/>
    <w:autoRedefine/>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4">
    <w:name w:val="Normal Indent"/>
    <w:basedOn w:val="1"/>
    <w:unhideWhenUsed/>
    <w:qFormat/>
    <w:uiPriority w:val="99"/>
    <w:pPr>
      <w:autoSpaceDE w:val="0"/>
      <w:autoSpaceDN w:val="0"/>
      <w:adjustRightInd w:val="0"/>
      <w:spacing w:after="180" w:line="400" w:lineRule="atLeast"/>
      <w:ind w:firstLine="420"/>
      <w:jc w:val="left"/>
    </w:pPr>
    <w:rPr>
      <w:rFonts w:ascii="长城楷体" w:hAnsi="Tms Rmn" w:eastAsia="长城楷体"/>
      <w:sz w:val="28"/>
      <w:szCs w:val="20"/>
    </w:rPr>
  </w:style>
  <w:style w:type="paragraph" w:styleId="5">
    <w:name w:val="footer"/>
    <w:basedOn w:val="1"/>
    <w:unhideWhenUsed/>
    <w:qFormat/>
    <w:uiPriority w:val="0"/>
    <w:pPr>
      <w:tabs>
        <w:tab w:val="center" w:pos="4153"/>
        <w:tab w:val="right" w:pos="8306"/>
      </w:tabs>
      <w:snapToGrid w:val="0"/>
      <w:spacing w:line="240" w:lineRule="auto"/>
    </w:pPr>
    <w:rPr>
      <w:sz w:val="18"/>
      <w:szCs w:val="18"/>
    </w:rPr>
  </w:style>
  <w:style w:type="paragraph" w:styleId="6">
    <w:name w:val="header"/>
    <w:basedOn w:val="1"/>
    <w:autoRedefine/>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2022-08-10T07:16:00Z</dcterms:created>
  <dc:creator>杨坤</dc:creator>
  <cp:lastModifiedBy>WPS_1591171339</cp:lastModifiedBy>
  <dcterms:modified xsi:type="dcterms:W3CDTF">2024-02-20T07:31:04Z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28084DF82ADF48ECAFAF25E6573792AC_12</vt:lpwstr>
  </property>
</Properties>
</file>