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eastAsia="仿宋" w:asciiTheme="minorHAnsi" w:hAnsiTheme="minorHAnsi"/>
          <w:b/>
          <w:bCs/>
          <w:kern w:val="2"/>
          <w:sz w:val="28"/>
          <w:szCs w:val="28"/>
          <w:lang w:eastAsia="zh-CN"/>
        </w:rPr>
      </w:pPr>
      <w:bookmarkStart w:id="0" w:name="_Hlk23253334"/>
      <w:bookmarkStart w:id="1" w:name="_Toc447125208"/>
      <w:r>
        <w:rPr>
          <w:rFonts w:hint="eastAsia" w:eastAsia="仿宋" w:asciiTheme="minorHAnsi" w:hAnsiTheme="minorHAnsi"/>
          <w:b/>
          <w:bCs/>
          <w:kern w:val="2"/>
          <w:sz w:val="28"/>
          <w:szCs w:val="28"/>
          <w:lang w:eastAsia="zh-CN"/>
        </w:rPr>
        <w:t>曲靖市麒麟区自然资源局拟对麒麟区三宝镇兴龙假龙潭采石场采矿权进行竞争性出让所涉及的麒麟区三宝镇兴龙假龙潭采石场</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eastAsia="仿宋" w:asciiTheme="minorHAnsi" w:hAnsiTheme="minorHAnsi"/>
          <w:b/>
          <w:bCs/>
          <w:kern w:val="2"/>
          <w:sz w:val="28"/>
          <w:szCs w:val="28"/>
          <w:lang w:eastAsia="zh-CN"/>
        </w:rPr>
      </w:pPr>
      <w:bookmarkStart w:id="3" w:name="_GoBack"/>
      <w:bookmarkEnd w:id="3"/>
      <w:r>
        <w:rPr>
          <w:rFonts w:hint="eastAsia" w:eastAsia="仿宋" w:asciiTheme="minorHAnsi" w:hAnsiTheme="minorHAnsi"/>
          <w:b/>
          <w:bCs/>
          <w:kern w:val="2"/>
          <w:sz w:val="28"/>
          <w:szCs w:val="28"/>
          <w:lang w:eastAsia="zh-CN"/>
        </w:rPr>
        <w:t>采矿权涉矿相关资产市场价值</w:t>
      </w:r>
    </w:p>
    <w:bookmarkEnd w:id="0"/>
    <w:p>
      <w:pPr>
        <w:pStyle w:val="3"/>
        <w:keepNext w:val="0"/>
        <w:keepLines w:val="0"/>
        <w:pageBreakBefore w:val="0"/>
        <w:widowControl/>
        <w:kinsoku/>
        <w:wordWrap/>
        <w:overflowPunct/>
        <w:topLinePunct w:val="0"/>
        <w:autoSpaceDE/>
        <w:autoSpaceDN/>
        <w:bidi w:val="0"/>
        <w:adjustRightInd/>
        <w:snapToGrid/>
        <w:spacing w:before="0" w:line="0" w:lineRule="atLeast"/>
        <w:jc w:val="center"/>
        <w:textAlignment w:val="auto"/>
        <w:rPr>
          <w:rFonts w:hint="eastAsia" w:eastAsia="仿宋" w:asciiTheme="minorHAnsi" w:hAnsiTheme="minorHAnsi"/>
          <w:b/>
          <w:bCs/>
          <w:kern w:val="2"/>
          <w:sz w:val="28"/>
          <w:szCs w:val="28"/>
          <w:lang w:eastAsia="zh-CN"/>
        </w:rPr>
      </w:pPr>
      <w:bookmarkStart w:id="2" w:name="_Toc18050"/>
      <w:r>
        <w:rPr>
          <w:rFonts w:hint="eastAsia" w:eastAsia="仿宋" w:asciiTheme="minorHAnsi" w:hAnsiTheme="minorHAnsi"/>
          <w:b/>
          <w:bCs/>
          <w:kern w:val="2"/>
          <w:sz w:val="28"/>
          <w:szCs w:val="28"/>
          <w:lang w:eastAsia="zh-CN"/>
        </w:rPr>
        <w:t>资产评估报告摘要</w:t>
      </w:r>
      <w:bookmarkEnd w:id="1"/>
      <w:bookmarkEnd w:id="2"/>
    </w:p>
    <w:p>
      <w:pPr>
        <w:adjustRightInd w:val="0"/>
        <w:snapToGrid w:val="0"/>
        <w:spacing w:after="100" w:line="240" w:lineRule="auto"/>
        <w:jc w:val="center"/>
        <w:rPr>
          <w:rFonts w:eastAsia="仿宋" w:asciiTheme="minorHAnsi" w:hAnsiTheme="minorHAnsi"/>
          <w:spacing w:val="18"/>
          <w:sz w:val="21"/>
          <w:szCs w:val="21"/>
          <w:lang w:eastAsia="zh-CN"/>
        </w:rPr>
      </w:pPr>
      <w:r>
        <w:rPr>
          <w:rFonts w:hint="eastAsia" w:eastAsia="仿宋" w:asciiTheme="minorHAnsi" w:hAnsiTheme="minorHAnsi"/>
          <w:spacing w:val="18"/>
          <w:sz w:val="21"/>
          <w:szCs w:val="21"/>
          <w:lang w:eastAsia="zh-CN"/>
        </w:rPr>
        <w:t>鹏信资估报字[</w:t>
      </w:r>
      <w:r>
        <w:rPr>
          <w:rFonts w:hint="eastAsia" w:ascii="Calibri" w:hAnsi="Calibri" w:eastAsia="仿宋"/>
          <w:spacing w:val="18"/>
          <w:sz w:val="21"/>
          <w:szCs w:val="21"/>
          <w:lang w:eastAsia="zh-CN"/>
        </w:rPr>
        <w:t>2024</w:t>
      </w:r>
      <w:r>
        <w:rPr>
          <w:rFonts w:hint="eastAsia" w:eastAsia="仿宋" w:asciiTheme="minorHAnsi" w:hAnsiTheme="minorHAnsi"/>
          <w:spacing w:val="18"/>
          <w:sz w:val="21"/>
          <w:szCs w:val="21"/>
          <w:lang w:eastAsia="zh-CN"/>
        </w:rPr>
        <w:t>]第YKM</w:t>
      </w:r>
      <w:r>
        <w:rPr>
          <w:rFonts w:hint="eastAsia" w:ascii="Calibri" w:hAnsi="Calibri" w:eastAsia="仿宋"/>
          <w:spacing w:val="18"/>
          <w:sz w:val="21"/>
          <w:szCs w:val="21"/>
          <w:lang w:eastAsia="zh-CN"/>
        </w:rPr>
        <w:t>005</w:t>
      </w:r>
      <w:r>
        <w:rPr>
          <w:rFonts w:hint="eastAsia" w:eastAsia="仿宋" w:asciiTheme="minorHAnsi" w:hAnsiTheme="minorHAnsi"/>
          <w:spacing w:val="18"/>
          <w:sz w:val="21"/>
          <w:szCs w:val="21"/>
          <w:lang w:eastAsia="zh-CN"/>
        </w:rPr>
        <w:t>号</w:t>
      </w:r>
    </w:p>
    <w:tbl>
      <w:tblPr>
        <w:tblStyle w:val="7"/>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，就曲靖市麒麟区自然资源局拟对麒麟区三宝镇兴龙假龙潭采石场采矿权进行竞争性出让之经济行为所涉及的麒麟区三宝镇兴龙假龙潭采石场采矿权涉矿相关资产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拟对“麒麟区三宝镇兴龙假龙潭采石场采矿权”进行竞争性出让，为此，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委托深圳市鹏信资产评估土地房地产估价有限公司对此经济行为涉及的麒麟区三宝镇兴龙假龙潭采石场采矿权涉矿相关资产的价值进行评估，为上述经济行为提供价值参考。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二、评估对象：麒麟区三宝镇兴龙假龙潭采石场采矿权涉矿相关资产</w:t>
      </w:r>
      <w:r>
        <w:rPr>
          <w:rFonts w:hint="eastAsia" w:ascii="仿宋" w:hAnsi="仿宋" w:eastAsia="仿宋"/>
          <w:sz w:val="24"/>
          <w:highlight w:val="none"/>
          <w:lang w:eastAsia="zh-CN"/>
        </w:rPr>
        <w:t>;</w:t>
      </w:r>
      <w:r>
        <w:rPr>
          <w:rFonts w:hint="eastAsia" w:ascii="仿宋" w:hAnsi="仿宋" w:eastAsia="仿宋"/>
          <w:sz w:val="24"/>
          <w:lang w:eastAsia="zh-CN"/>
        </w:rPr>
        <w:t>评估范围：</w:t>
      </w:r>
      <w:r>
        <w:rPr>
          <w:rFonts w:hint="eastAsia" w:ascii="仿宋" w:hAnsi="仿宋" w:eastAsia="仿宋"/>
          <w:sz w:val="24"/>
          <w:lang w:val="en-US" w:eastAsia="zh-CN"/>
        </w:rPr>
        <w:t>曲靖市麒麟区三宝镇兴龙假龙潭采石场</w:t>
      </w:r>
      <w:r>
        <w:rPr>
          <w:rFonts w:hint="eastAsia" w:ascii="仿宋" w:hAnsi="仿宋" w:eastAsia="仿宋"/>
          <w:sz w:val="24"/>
          <w:lang w:eastAsia="zh-CN"/>
        </w:rPr>
        <w:t>持有的</w:t>
      </w:r>
      <w:r>
        <w:rPr>
          <w:rFonts w:hint="eastAsia" w:ascii="仿宋" w:hAnsi="仿宋" w:eastAsia="仿宋"/>
          <w:sz w:val="24"/>
          <w:lang w:val="en-US" w:eastAsia="zh-CN"/>
        </w:rPr>
        <w:t>产成品、</w:t>
      </w:r>
      <w:r>
        <w:rPr>
          <w:rFonts w:hint="eastAsia" w:ascii="仿宋" w:hAnsi="仿宋" w:eastAsia="仿宋"/>
          <w:sz w:val="24"/>
          <w:lang w:eastAsia="zh-CN"/>
        </w:rPr>
        <w:t>房屋类建筑物、构筑物类建筑物、机械类设备</w:t>
      </w:r>
      <w:r>
        <w:rPr>
          <w:rFonts w:hint="eastAsia" w:ascii="仿宋" w:hAnsi="仿宋" w:eastAsia="仿宋"/>
          <w:sz w:val="24"/>
          <w:lang w:val="en-US" w:eastAsia="zh-CN"/>
        </w:rPr>
        <w:t>、生物资产、长期待摊费用</w:t>
      </w:r>
      <w:r>
        <w:rPr>
          <w:rFonts w:hint="eastAsia" w:ascii="仿宋" w:hAnsi="仿宋" w:eastAsia="仿宋"/>
          <w:sz w:val="24"/>
          <w:lang w:eastAsia="zh-CN"/>
        </w:rPr>
        <w:t>等涉矿相关资产，详见评估明细表。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三、评估基准日：202</w:t>
      </w:r>
      <w:r>
        <w:rPr>
          <w:rFonts w:hint="eastAsia" w:ascii="Calibri" w:hAnsi="Calibri" w:eastAsia="仿宋"/>
          <w:sz w:val="24"/>
          <w:szCs w:val="24"/>
          <w:lang w:val="en-US" w:eastAsia="zh-CN"/>
        </w:rPr>
        <w:t>3</w:t>
      </w:r>
      <w:r>
        <w:rPr>
          <w:rFonts w:hint="eastAsia" w:ascii="Calibri" w:hAnsi="Calibri" w:eastAsia="仿宋"/>
          <w:sz w:val="24"/>
          <w:szCs w:val="24"/>
          <w:lang w:eastAsia="zh-CN"/>
        </w:rPr>
        <w:t>年</w:t>
      </w:r>
      <w:r>
        <w:rPr>
          <w:rFonts w:hint="eastAsia" w:ascii="Calibri" w:hAnsi="Calibri" w:eastAsia="仿宋"/>
          <w:sz w:val="24"/>
          <w:szCs w:val="24"/>
          <w:lang w:val="en-US" w:eastAsia="zh-CN"/>
        </w:rPr>
        <w:t>10</w:t>
      </w:r>
      <w:r>
        <w:rPr>
          <w:rFonts w:hint="eastAsia" w:ascii="Calibri" w:hAnsi="Calibri" w:eastAsia="仿宋"/>
          <w:sz w:val="24"/>
          <w:szCs w:val="24"/>
          <w:lang w:eastAsia="zh-CN"/>
        </w:rPr>
        <w:t>月3</w:t>
      </w:r>
      <w:r>
        <w:rPr>
          <w:rFonts w:hint="eastAsia" w:ascii="Calibri" w:hAnsi="Calibri" w:eastAsia="仿宋"/>
          <w:sz w:val="24"/>
          <w:szCs w:val="24"/>
          <w:lang w:val="en-US" w:eastAsia="zh-CN"/>
        </w:rPr>
        <w:t>1</w:t>
      </w:r>
      <w:r>
        <w:rPr>
          <w:rFonts w:hint="eastAsia" w:ascii="Calibri" w:hAnsi="Calibri" w:eastAsia="仿宋"/>
          <w:sz w:val="24"/>
          <w:szCs w:val="24"/>
          <w:lang w:eastAsia="zh-CN"/>
        </w:rPr>
        <w:t>日。</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麒麟区三宝镇兴龙假龙潭采石场采矿权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麒麟区三宝镇</w:t>
      </w:r>
      <w:r>
        <w:rPr>
          <w:rFonts w:hint="eastAsia" w:ascii="Calibri" w:hAnsi="Calibri" w:eastAsia="仿宋"/>
          <w:spacing w:val="6"/>
          <w:sz w:val="24"/>
          <w:szCs w:val="24"/>
          <w:highlight w:val="none"/>
          <w:lang w:eastAsia="zh-CN"/>
        </w:rPr>
        <w:t>兴龙假龙潭采石场采矿权</w:t>
      </w:r>
      <w:r>
        <w:rPr>
          <w:rFonts w:hint="eastAsia" w:ascii="Calibri" w:hAnsi="Calibri" w:eastAsia="仿宋"/>
          <w:sz w:val="24"/>
          <w:szCs w:val="24"/>
          <w:highlight w:val="none"/>
          <w:lang w:eastAsia="zh-CN"/>
        </w:rPr>
        <w:t>涉矿相关资产市场价值于评估基准日的评估值为：2,682.56万元人民币(大写：人民币【贰仟陆佰捌拾贰万伍仟陆佰】元整)。</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评估结论使用有效期：通常情况下，评估结论的使用有效期自评估基准日202</w:t>
      </w:r>
      <w:r>
        <w:rPr>
          <w:rFonts w:hint="eastAsia" w:ascii="Calibri" w:hAnsi="Calibri" w:eastAsia="仿宋"/>
          <w:sz w:val="24"/>
          <w:szCs w:val="24"/>
          <w:lang w:val="en-US" w:eastAsia="zh-CN"/>
        </w:rPr>
        <w:t>3</w:t>
      </w:r>
      <w:r>
        <w:rPr>
          <w:rFonts w:hint="eastAsia" w:ascii="Calibri" w:hAnsi="Calibri" w:eastAsia="仿宋"/>
          <w:sz w:val="24"/>
          <w:szCs w:val="24"/>
          <w:lang w:eastAsia="zh-CN"/>
        </w:rPr>
        <w:t>年</w:t>
      </w:r>
      <w:r>
        <w:rPr>
          <w:rFonts w:hint="eastAsia" w:ascii="Calibri" w:hAnsi="Calibri" w:eastAsia="仿宋"/>
          <w:sz w:val="24"/>
          <w:szCs w:val="24"/>
          <w:lang w:val="en-US" w:eastAsia="zh-CN"/>
        </w:rPr>
        <w:t>10</w:t>
      </w:r>
      <w:r>
        <w:rPr>
          <w:rFonts w:hint="eastAsia" w:ascii="Calibri" w:hAnsi="Calibri" w:eastAsia="仿宋"/>
          <w:sz w:val="24"/>
          <w:szCs w:val="24"/>
          <w:lang w:eastAsia="zh-CN"/>
        </w:rPr>
        <w:t>月3</w:t>
      </w:r>
      <w:r>
        <w:rPr>
          <w:rFonts w:hint="eastAsia" w:ascii="Calibri" w:hAnsi="Calibri" w:eastAsia="仿宋"/>
          <w:sz w:val="24"/>
          <w:szCs w:val="24"/>
          <w:lang w:val="en-US" w:eastAsia="zh-CN"/>
        </w:rPr>
        <w:t>1</w:t>
      </w:r>
      <w:r>
        <w:rPr>
          <w:rFonts w:hint="eastAsia" w:ascii="Calibri" w:hAnsi="Calibri" w:eastAsia="仿宋"/>
          <w:sz w:val="24"/>
          <w:szCs w:val="24"/>
          <w:lang w:eastAsia="zh-CN"/>
        </w:rPr>
        <w:t>日至202</w:t>
      </w:r>
      <w:r>
        <w:rPr>
          <w:rFonts w:hint="eastAsia" w:ascii="Calibri" w:hAnsi="Calibri" w:eastAsia="仿宋"/>
          <w:sz w:val="24"/>
          <w:szCs w:val="24"/>
          <w:lang w:val="en-US" w:eastAsia="zh-CN"/>
        </w:rPr>
        <w:t>4</w:t>
      </w:r>
      <w:r>
        <w:rPr>
          <w:rFonts w:hint="eastAsia" w:ascii="Calibri" w:hAnsi="Calibri" w:eastAsia="仿宋"/>
          <w:sz w:val="24"/>
          <w:szCs w:val="24"/>
          <w:lang w:eastAsia="zh-CN"/>
        </w:rPr>
        <w:t>年</w:t>
      </w:r>
      <w:r>
        <w:rPr>
          <w:rFonts w:hint="eastAsia" w:ascii="Calibri" w:hAnsi="Calibri" w:eastAsia="仿宋"/>
          <w:sz w:val="24"/>
          <w:szCs w:val="24"/>
          <w:lang w:val="en-US" w:eastAsia="zh-CN"/>
        </w:rPr>
        <w:t>10</w:t>
      </w:r>
      <w:r>
        <w:rPr>
          <w:rFonts w:hint="eastAsia" w:ascii="Calibri" w:hAnsi="Calibri" w:eastAsia="仿宋"/>
          <w:sz w:val="24"/>
          <w:szCs w:val="24"/>
          <w:lang w:eastAsia="zh-CN"/>
        </w:rPr>
        <w:t>月</w:t>
      </w:r>
      <w:r>
        <w:rPr>
          <w:rFonts w:hint="eastAsia" w:ascii="Calibri" w:hAnsi="Calibri" w:eastAsia="仿宋"/>
          <w:sz w:val="24"/>
          <w:szCs w:val="24"/>
          <w:lang w:val="en-US" w:eastAsia="zh-CN"/>
        </w:rPr>
        <w:t>30</w:t>
      </w:r>
      <w:r>
        <w:rPr>
          <w:rFonts w:hint="eastAsia" w:ascii="Calibri" w:hAnsi="Calibri" w:eastAsia="仿宋"/>
          <w:sz w:val="24"/>
          <w:szCs w:val="24"/>
          <w:lang w:eastAsia="zh-CN"/>
        </w:rPr>
        <w:t>日止。</w:t>
      </w:r>
    </w:p>
    <w:p>
      <w:pPr>
        <w:widowControl w:val="0"/>
        <w:spacing w:before="156" w:beforeLines="50" w:after="0" w:line="240" w:lineRule="auto"/>
        <w:ind w:firstLine="480" w:firstLineChars="200"/>
        <w:jc w:val="both"/>
        <w:rPr>
          <w:rFonts w:hint="default" w:ascii="Calibri" w:hAnsi="Calibri" w:eastAsia="仿宋"/>
          <w:sz w:val="24"/>
          <w:szCs w:val="24"/>
          <w:lang w:val="en-US" w:eastAsia="zh-CN"/>
        </w:rPr>
      </w:pPr>
      <w:r>
        <w:rPr>
          <w:rFonts w:hint="eastAsia" w:ascii="Calibri" w:hAnsi="Calibri" w:eastAsia="仿宋"/>
          <w:sz w:val="24"/>
          <w:szCs w:val="24"/>
          <w:lang w:val="en-US" w:eastAsia="zh-CN"/>
        </w:rPr>
        <w:t>七、特别事项说明：</w:t>
      </w:r>
    </w:p>
    <w:p>
      <w:pPr>
        <w:spacing w:before="156" w:beforeLines="50" w:after="0" w:line="240" w:lineRule="auto"/>
        <w:ind w:firstLine="480" w:firstLineChars="200"/>
        <w:jc w:val="both"/>
        <w:rPr>
          <w:rFonts w:hint="eastAsia" w:ascii="Calibri" w:hAnsi="Calibri" w:eastAsia="仿宋"/>
          <w:sz w:val="24"/>
          <w:szCs w:val="24"/>
          <w:lang w:val="en-US" w:eastAsia="zh-CN"/>
        </w:rPr>
      </w:pPr>
      <w:r>
        <w:rPr>
          <w:rFonts w:hint="eastAsia" w:ascii="Calibri" w:hAnsi="Calibri" w:eastAsia="仿宋"/>
          <w:sz w:val="24"/>
          <w:szCs w:val="24"/>
          <w:lang w:val="en-US" w:eastAsia="zh-CN"/>
        </w:rPr>
        <w:t>1.截至评估基准日，曲靖市麒麟区三宝镇兴龙假龙潭采石场处于停产状态，该采石场将其持有的部分挖掘机出租。根据曲靖市麒麟区三宝镇兴龙假龙潭采石场提供的《挖机租赁协议书》，详细信息如下表：</w:t>
      </w:r>
    </w:p>
    <w:p>
      <w:pPr>
        <w:pStyle w:val="4"/>
        <w:rPr>
          <w:rFonts w:hint="eastAsia" w:eastAsia="仿宋" w:cs="Times New Roman" w:asciiTheme="minorHAnsi" w:hAnsiTheme="minorHAnsi"/>
          <w:sz w:val="24"/>
          <w:szCs w:val="24"/>
          <w:highlight w:val="none"/>
          <w:lang w:val="en-US" w:eastAsia="zh-CN" w:bidi="en-US"/>
        </w:rPr>
      </w:pPr>
    </w:p>
    <w:tbl>
      <w:tblPr>
        <w:tblStyle w:val="7"/>
        <w:tblW w:w="5000" w:type="pct"/>
        <w:tblInd w:w="0" w:type="dxa"/>
        <w:shd w:val="clear" w:color="auto" w:fill="auto"/>
        <w:tblLayout w:type="fixed"/>
        <w:tblCellMar>
          <w:top w:w="0" w:type="dxa"/>
          <w:left w:w="0" w:type="dxa"/>
          <w:bottom w:w="0" w:type="dxa"/>
          <w:right w:w="0" w:type="dxa"/>
        </w:tblCellMar>
      </w:tblPr>
      <w:tblGrid>
        <w:gridCol w:w="295"/>
        <w:gridCol w:w="1650"/>
        <w:gridCol w:w="1107"/>
        <w:gridCol w:w="850"/>
        <w:gridCol w:w="784"/>
        <w:gridCol w:w="1616"/>
        <w:gridCol w:w="443"/>
        <w:gridCol w:w="544"/>
        <w:gridCol w:w="1041"/>
      </w:tblGrid>
      <w:tr>
        <w:tblPrEx>
          <w:tblCellMar>
            <w:top w:w="0" w:type="dxa"/>
            <w:left w:w="0" w:type="dxa"/>
            <w:bottom w:w="0" w:type="dxa"/>
            <w:right w:w="0" w:type="dxa"/>
          </w:tblCellMar>
        </w:tblPrEx>
        <w:trPr>
          <w:trHeight w:val="288" w:hRule="atLeast"/>
        </w:trPr>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序号</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出租人</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承租人</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设备名称</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规格型号</w:t>
            </w: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生产厂家</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单位</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数量</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购置日期</w:t>
            </w:r>
          </w:p>
        </w:tc>
      </w:tr>
      <w:tr>
        <w:tblPrEx>
          <w:shd w:val="clear" w:color="auto" w:fill="auto"/>
          <w:tblCellMar>
            <w:top w:w="0" w:type="dxa"/>
            <w:left w:w="0" w:type="dxa"/>
            <w:bottom w:w="0" w:type="dxa"/>
            <w:right w:w="0" w:type="dxa"/>
          </w:tblCellMar>
        </w:tblPrEx>
        <w:trPr>
          <w:trHeight w:val="288" w:hRule="atLeast"/>
        </w:trPr>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r>
      <w:tr>
        <w:tblPrEx>
          <w:shd w:val="clear" w:color="auto" w:fill="auto"/>
          <w:tblCellMar>
            <w:top w:w="0" w:type="dxa"/>
            <w:left w:w="0" w:type="dxa"/>
            <w:bottom w:w="0" w:type="dxa"/>
            <w:right w:w="0" w:type="dxa"/>
          </w:tblCellMar>
        </w:tblPrEx>
        <w:trPr>
          <w:trHeight w:val="288" w:hRule="atLeast"/>
        </w:trPr>
        <w:tc>
          <w:tcPr>
            <w:tcW w:w="177"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1</w:t>
            </w:r>
          </w:p>
        </w:tc>
        <w:tc>
          <w:tcPr>
            <w:tcW w:w="990"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曲靖市麒麟区三宝镇兴龙假龙潭采石场</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嵩明杨林俊达土石方工程处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挖掘机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SK</w:t>
            </w:r>
            <w:r>
              <w:rPr>
                <w:rFonts w:hint="eastAsia" w:ascii="Calibri" w:hAnsi="Calibri" w:eastAsia="仿宋" w:cs="仿宋"/>
                <w:i w:val="0"/>
                <w:color w:val="000000"/>
                <w:kern w:val="0"/>
                <w:sz w:val="18"/>
                <w:szCs w:val="18"/>
                <w:highlight w:val="none"/>
                <w:u w:val="none"/>
                <w:lang w:val="en-US" w:eastAsia="zh-CN" w:bidi="ar"/>
              </w:rPr>
              <w:t>460</w:t>
            </w:r>
            <w:r>
              <w:rPr>
                <w:rFonts w:hint="eastAsia" w:ascii="仿宋" w:hAnsi="仿宋" w:eastAsia="仿宋" w:cs="仿宋"/>
                <w:i w:val="0"/>
                <w:color w:val="000000"/>
                <w:kern w:val="0"/>
                <w:sz w:val="18"/>
                <w:szCs w:val="18"/>
                <w:highlight w:val="none"/>
                <w:u w:val="none"/>
                <w:lang w:val="en-US" w:eastAsia="zh-CN" w:bidi="ar"/>
              </w:rPr>
              <w:t>-</w:t>
            </w:r>
            <w:r>
              <w:rPr>
                <w:rFonts w:hint="eastAsia" w:ascii="Calibri" w:hAnsi="Calibri" w:eastAsia="仿宋" w:cs="仿宋"/>
                <w:i w:val="0"/>
                <w:color w:val="000000"/>
                <w:kern w:val="0"/>
                <w:sz w:val="18"/>
                <w:szCs w:val="18"/>
                <w:highlight w:val="none"/>
                <w:u w:val="none"/>
                <w:lang w:val="en-US" w:eastAsia="zh-CN" w:bidi="ar"/>
              </w:rPr>
              <w:t>8</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成都神钢建设机械有限公司（中国）</w:t>
            </w:r>
          </w:p>
        </w:tc>
        <w:tc>
          <w:tcPr>
            <w:tcW w:w="2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326"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2012</w:t>
            </w:r>
            <w:r>
              <w:rPr>
                <w:rFonts w:hint="eastAsia" w:ascii="仿宋" w:hAnsi="仿宋" w:eastAsia="仿宋" w:cs="仿宋"/>
                <w:i w:val="0"/>
                <w:color w:val="000000"/>
                <w:kern w:val="0"/>
                <w:sz w:val="18"/>
                <w:szCs w:val="18"/>
                <w:highlight w:val="none"/>
                <w:u w:val="none"/>
                <w:lang w:val="en-US" w:eastAsia="zh-CN" w:bidi="ar"/>
              </w:rPr>
              <w:t>年</w:t>
            </w:r>
            <w:r>
              <w:rPr>
                <w:rFonts w:hint="eastAsia" w:ascii="Calibri" w:hAnsi="Calibri" w:eastAsia="仿宋" w:cs="仿宋"/>
                <w:i w:val="0"/>
                <w:color w:val="000000"/>
                <w:kern w:val="0"/>
                <w:sz w:val="18"/>
                <w:szCs w:val="18"/>
                <w:highlight w:val="none"/>
                <w:u w:val="none"/>
                <w:lang w:val="en-US" w:eastAsia="zh-CN" w:bidi="ar"/>
              </w:rPr>
              <w:t>5</w:t>
            </w:r>
            <w:r>
              <w:rPr>
                <w:rFonts w:hint="eastAsia" w:ascii="仿宋" w:hAnsi="仿宋" w:eastAsia="仿宋" w:cs="仿宋"/>
                <w:i w:val="0"/>
                <w:color w:val="000000"/>
                <w:kern w:val="0"/>
                <w:sz w:val="18"/>
                <w:szCs w:val="18"/>
                <w:highlight w:val="none"/>
                <w:u w:val="none"/>
                <w:lang w:val="en-US" w:eastAsia="zh-CN" w:bidi="ar"/>
              </w:rPr>
              <w:t>月</w:t>
            </w:r>
          </w:p>
        </w:tc>
      </w:tr>
      <w:tr>
        <w:tblPrEx>
          <w:shd w:val="clear" w:color="auto" w:fill="auto"/>
          <w:tblCellMar>
            <w:top w:w="0" w:type="dxa"/>
            <w:left w:w="0" w:type="dxa"/>
            <w:bottom w:w="0" w:type="dxa"/>
            <w:right w:w="0" w:type="dxa"/>
          </w:tblCellMar>
        </w:tblPrEx>
        <w:trPr>
          <w:trHeight w:val="288" w:hRule="atLeast"/>
        </w:trPr>
        <w:tc>
          <w:tcPr>
            <w:tcW w:w="177"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2</w:t>
            </w:r>
          </w:p>
        </w:tc>
        <w:tc>
          <w:tcPr>
            <w:tcW w:w="990"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曲靖市麒麟区三宝镇兴龙假龙潭采石场</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嵩明杨林俊达土石方工程处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挖掘机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349</w:t>
            </w:r>
            <w:r>
              <w:rPr>
                <w:rFonts w:hint="eastAsia" w:ascii="仿宋" w:hAnsi="仿宋" w:eastAsia="仿宋" w:cs="仿宋"/>
                <w:i w:val="0"/>
                <w:color w:val="000000"/>
                <w:kern w:val="0"/>
                <w:sz w:val="18"/>
                <w:szCs w:val="18"/>
                <w:highlight w:val="none"/>
                <w:u w:val="none"/>
                <w:lang w:val="en-US" w:eastAsia="zh-CN" w:bidi="ar"/>
              </w:rPr>
              <w:t>D</w:t>
            </w:r>
            <w:r>
              <w:rPr>
                <w:rFonts w:hint="eastAsia" w:ascii="Calibri" w:hAnsi="Calibri" w:eastAsia="仿宋" w:cs="仿宋"/>
                <w:i w:val="0"/>
                <w:color w:val="000000"/>
                <w:kern w:val="0"/>
                <w:sz w:val="18"/>
                <w:szCs w:val="18"/>
                <w:highlight w:val="none"/>
                <w:u w:val="none"/>
                <w:lang w:val="en-US" w:eastAsia="zh-CN" w:bidi="ar"/>
              </w:rPr>
              <w:t>2</w:t>
            </w:r>
            <w:r>
              <w:rPr>
                <w:rFonts w:hint="eastAsia" w:ascii="仿宋" w:hAnsi="仿宋" w:eastAsia="仿宋" w:cs="仿宋"/>
                <w:i w:val="0"/>
                <w:color w:val="000000"/>
                <w:kern w:val="0"/>
                <w:sz w:val="18"/>
                <w:szCs w:val="18"/>
                <w:highlight w:val="none"/>
                <w:u w:val="none"/>
                <w:lang w:val="en-US" w:eastAsia="zh-CN" w:bidi="ar"/>
              </w:rPr>
              <w:t>L</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卡特彼勒徐州有限公司</w:t>
            </w:r>
          </w:p>
        </w:tc>
        <w:tc>
          <w:tcPr>
            <w:tcW w:w="2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326"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2017</w:t>
            </w:r>
            <w:r>
              <w:rPr>
                <w:rFonts w:hint="eastAsia" w:ascii="仿宋" w:hAnsi="仿宋" w:eastAsia="仿宋" w:cs="仿宋"/>
                <w:i w:val="0"/>
                <w:color w:val="000000"/>
                <w:kern w:val="0"/>
                <w:sz w:val="18"/>
                <w:szCs w:val="18"/>
                <w:highlight w:val="none"/>
                <w:u w:val="none"/>
                <w:lang w:val="en-US" w:eastAsia="zh-CN" w:bidi="ar"/>
              </w:rPr>
              <w:t>年</w:t>
            </w:r>
            <w:r>
              <w:rPr>
                <w:rFonts w:hint="eastAsia" w:ascii="Calibri" w:hAnsi="Calibri" w:eastAsia="仿宋" w:cs="仿宋"/>
                <w:i w:val="0"/>
                <w:color w:val="000000"/>
                <w:kern w:val="0"/>
                <w:sz w:val="18"/>
                <w:szCs w:val="18"/>
                <w:highlight w:val="none"/>
                <w:u w:val="none"/>
                <w:lang w:val="en-US" w:eastAsia="zh-CN" w:bidi="ar"/>
              </w:rPr>
              <w:t>6</w:t>
            </w:r>
            <w:r>
              <w:rPr>
                <w:rFonts w:hint="eastAsia" w:ascii="仿宋" w:hAnsi="仿宋" w:eastAsia="仿宋" w:cs="仿宋"/>
                <w:i w:val="0"/>
                <w:color w:val="000000"/>
                <w:kern w:val="0"/>
                <w:sz w:val="18"/>
                <w:szCs w:val="18"/>
                <w:highlight w:val="none"/>
                <w:u w:val="none"/>
                <w:lang w:val="en-US" w:eastAsia="zh-CN" w:bidi="ar"/>
              </w:rPr>
              <w:t>月</w:t>
            </w:r>
          </w:p>
        </w:tc>
      </w:tr>
      <w:tr>
        <w:tblPrEx>
          <w:shd w:val="clear" w:color="auto" w:fill="auto"/>
          <w:tblCellMar>
            <w:top w:w="0" w:type="dxa"/>
            <w:left w:w="0" w:type="dxa"/>
            <w:bottom w:w="0" w:type="dxa"/>
            <w:right w:w="0" w:type="dxa"/>
          </w:tblCellMar>
        </w:tblPrEx>
        <w:trPr>
          <w:trHeight w:val="288" w:hRule="atLeast"/>
        </w:trPr>
        <w:tc>
          <w:tcPr>
            <w:tcW w:w="177"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3</w:t>
            </w:r>
          </w:p>
        </w:tc>
        <w:tc>
          <w:tcPr>
            <w:tcW w:w="990"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曲靖市麒麟区三宝镇兴龙假龙潭采石场</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嵩明杨林俊达土石方工程处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挖掘机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SY</w:t>
            </w:r>
            <w:r>
              <w:rPr>
                <w:rFonts w:hint="eastAsia" w:ascii="Calibri" w:hAnsi="Calibri" w:eastAsia="仿宋" w:cs="仿宋"/>
                <w:i w:val="0"/>
                <w:color w:val="000000"/>
                <w:kern w:val="0"/>
                <w:sz w:val="18"/>
                <w:szCs w:val="18"/>
                <w:highlight w:val="none"/>
                <w:u w:val="none"/>
                <w:lang w:val="en-US" w:eastAsia="zh-CN" w:bidi="ar"/>
              </w:rPr>
              <w:t>550</w:t>
            </w:r>
            <w:r>
              <w:rPr>
                <w:rFonts w:hint="eastAsia" w:ascii="仿宋" w:hAnsi="仿宋" w:eastAsia="仿宋" w:cs="仿宋"/>
                <w:i w:val="0"/>
                <w:color w:val="000000"/>
                <w:kern w:val="0"/>
                <w:sz w:val="18"/>
                <w:szCs w:val="18"/>
                <w:highlight w:val="none"/>
                <w:u w:val="none"/>
                <w:lang w:val="en-US" w:eastAsia="zh-CN" w:bidi="ar"/>
              </w:rPr>
              <w:t>H</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三一重机有限公司</w:t>
            </w:r>
          </w:p>
        </w:tc>
        <w:tc>
          <w:tcPr>
            <w:tcW w:w="2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326"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2017</w:t>
            </w:r>
            <w:r>
              <w:rPr>
                <w:rFonts w:hint="eastAsia" w:ascii="仿宋" w:hAnsi="仿宋" w:eastAsia="仿宋" w:cs="仿宋"/>
                <w:i w:val="0"/>
                <w:color w:val="000000"/>
                <w:kern w:val="0"/>
                <w:sz w:val="18"/>
                <w:szCs w:val="18"/>
                <w:highlight w:val="none"/>
                <w:u w:val="none"/>
                <w:lang w:val="en-US" w:eastAsia="zh-CN" w:bidi="ar"/>
              </w:rPr>
              <w:t>年</w:t>
            </w:r>
            <w:r>
              <w:rPr>
                <w:rFonts w:hint="eastAsia" w:ascii="Calibri" w:hAnsi="Calibri" w:eastAsia="仿宋" w:cs="仿宋"/>
                <w:i w:val="0"/>
                <w:color w:val="000000"/>
                <w:kern w:val="0"/>
                <w:sz w:val="18"/>
                <w:szCs w:val="18"/>
                <w:highlight w:val="none"/>
                <w:u w:val="none"/>
                <w:lang w:val="en-US" w:eastAsia="zh-CN" w:bidi="ar"/>
              </w:rPr>
              <w:t>9</w:t>
            </w:r>
            <w:r>
              <w:rPr>
                <w:rFonts w:hint="eastAsia" w:ascii="仿宋" w:hAnsi="仿宋" w:eastAsia="仿宋" w:cs="仿宋"/>
                <w:i w:val="0"/>
                <w:color w:val="000000"/>
                <w:kern w:val="0"/>
                <w:sz w:val="18"/>
                <w:szCs w:val="18"/>
                <w:highlight w:val="none"/>
                <w:u w:val="none"/>
                <w:lang w:val="en-US" w:eastAsia="zh-CN" w:bidi="ar"/>
              </w:rPr>
              <w:t>月</w:t>
            </w:r>
          </w:p>
        </w:tc>
      </w:tr>
    </w:tbl>
    <w:p>
      <w:pPr>
        <w:spacing w:before="156" w:beforeLines="50" w:after="0" w:line="240" w:lineRule="auto"/>
        <w:ind w:firstLine="480" w:firstLineChars="200"/>
        <w:jc w:val="both"/>
        <w:rPr>
          <w:rFonts w:hint="eastAsia" w:ascii="Calibri" w:hAnsi="Calibri" w:eastAsia="仿宋"/>
          <w:sz w:val="24"/>
          <w:szCs w:val="24"/>
          <w:lang w:val="en-US" w:eastAsia="zh-CN"/>
        </w:rPr>
      </w:pPr>
      <w:r>
        <w:rPr>
          <w:rFonts w:hint="eastAsia" w:ascii="Calibri" w:hAnsi="Calibri" w:eastAsia="仿宋"/>
          <w:sz w:val="24"/>
          <w:szCs w:val="24"/>
          <w:lang w:val="en-US" w:eastAsia="zh-CN"/>
        </w:rPr>
        <w:t>曲靖市麒麟区三宝镇兴龙假龙潭采石场承诺以上挖掘机均为曲靖市麒麟区三宝镇兴龙假龙潭采石场所有，且无任何抵押和担保，不存在权属纠纷及其他占有和处置的限制，若发生产权纠纷曲靖市麒麟区三宝镇兴龙假龙潭采石场愿承担相关法律责任。</w:t>
      </w:r>
    </w:p>
    <w:p>
      <w:pPr>
        <w:spacing w:before="156" w:beforeLines="50" w:after="0" w:line="240" w:lineRule="auto"/>
        <w:ind w:firstLine="480" w:firstLineChars="200"/>
        <w:jc w:val="both"/>
        <w:rPr>
          <w:rFonts w:hint="eastAsia" w:ascii="Calibri" w:hAnsi="Calibri" w:eastAsia="仿宋"/>
          <w:sz w:val="24"/>
          <w:szCs w:val="24"/>
          <w:lang w:val="en-US" w:eastAsia="zh-CN"/>
        </w:rPr>
      </w:pPr>
      <w:r>
        <w:rPr>
          <w:rFonts w:hint="eastAsia" w:ascii="Calibri" w:hAnsi="Calibri" w:eastAsia="仿宋"/>
          <w:sz w:val="24"/>
          <w:szCs w:val="24"/>
          <w:lang w:val="en-US" w:eastAsia="zh-CN"/>
        </w:rPr>
        <w:t>本次评估，评估范围内的生物资产及其数量由产权持有单位申报，我们现场勘察时对其进行了核实，但由于专业限制评估人员无法得出专业结论，若评估数量与实际数量不符，应修改评估结论。产权持有单位对其申报数量以及提供资料的真实性、完整性负责；评估机构及资产评估师对在此基础上形成的评估结果承担法律责任。</w:t>
      </w:r>
    </w:p>
    <w:p>
      <w:pPr>
        <w:spacing w:before="156" w:beforeLines="50" w:after="0" w:line="240" w:lineRule="auto"/>
        <w:ind w:firstLine="480" w:firstLineChars="200"/>
        <w:jc w:val="both"/>
        <w:rPr>
          <w:rFonts w:hint="eastAsia" w:ascii="Calibri" w:hAnsi="Calibri" w:eastAsia="仿宋"/>
          <w:sz w:val="24"/>
          <w:szCs w:val="24"/>
          <w:lang w:val="en-US" w:eastAsia="zh-CN"/>
        </w:rPr>
      </w:pPr>
      <w:r>
        <w:rPr>
          <w:rFonts w:hint="eastAsia" w:ascii="Calibri" w:hAnsi="Calibri" w:eastAsia="仿宋"/>
          <w:sz w:val="24"/>
          <w:szCs w:val="24"/>
          <w:lang w:val="en-US" w:eastAsia="zh-CN"/>
        </w:rPr>
        <w:t>3.本次评估中，产权持有单位另行委托曲靖正矩测绘有限公司对其持有的产成品数量进行了测量，并出具了《采石场方量测量计算报告》，产权持有单位根据该报告的产成品数量进行了申报评估，产权持有单位对其提供资料的真实性、完整性负责；评估机构及资产评估师对在此基础上形成的评估结果承担法律责任。</w:t>
      </w:r>
    </w:p>
    <w:p>
      <w:pPr>
        <w:spacing w:before="156" w:beforeLines="50" w:after="0" w:line="240" w:lineRule="auto"/>
        <w:ind w:firstLine="480" w:firstLineChars="200"/>
        <w:jc w:val="both"/>
        <w:rPr>
          <w:rFonts w:hint="eastAsia" w:ascii="Calibri" w:hAnsi="Calibri" w:eastAsia="仿宋"/>
          <w:sz w:val="24"/>
          <w:szCs w:val="24"/>
          <w:lang w:val="en-US" w:eastAsia="zh-CN"/>
        </w:rPr>
      </w:pPr>
      <w:r>
        <w:rPr>
          <w:rFonts w:hint="eastAsia" w:ascii="Calibri" w:hAnsi="Calibri" w:eastAsia="仿宋"/>
          <w:sz w:val="24"/>
          <w:szCs w:val="24"/>
          <w:lang w:val="en-US" w:eastAsia="zh-CN"/>
        </w:rPr>
        <w:t>5.本次评估中，曲靖市麒麟区三宝镇兴龙假龙潭采石场所租用兴龙村委会土地的土地承包费，协议约定年租金330,000.00元，租金按年支付，产权持有单位未缴纳2023年度的土地租金，提请报告使用者关注该债务！</w:t>
      </w:r>
    </w:p>
    <w:p>
      <w:pPr>
        <w:widowControl w:val="0"/>
        <w:spacing w:before="156" w:beforeLines="50" w:after="0" w:line="240" w:lineRule="auto"/>
        <w:ind w:firstLine="480" w:firstLineChars="200"/>
        <w:jc w:val="both"/>
        <w:rPr>
          <w:rFonts w:hint="eastAsia" w:ascii="Calibri" w:hAnsi="Calibri" w:eastAsia="仿宋" w:cs="Calibri"/>
          <w:sz w:val="24"/>
          <w:szCs w:val="24"/>
          <w:lang w:val="en-US" w:eastAsia="zh-CN" w:bidi="en-US"/>
        </w:rPr>
      </w:pPr>
      <w:r>
        <w:rPr>
          <w:rFonts w:hint="eastAsia" w:ascii="Calibri" w:hAnsi="Calibri" w:eastAsia="仿宋"/>
          <w:sz w:val="24"/>
          <w:szCs w:val="24"/>
          <w:lang w:val="en-US" w:eastAsia="zh-CN"/>
        </w:rPr>
        <w:t>6.本次评估中，根据产权持有人提供的《山地承包合同》，自然人顾朝波承包了曲靖市麒麟区三宝镇兴龙村委会川龙村大石坎子处山地354.55亩，租赁期为2007年12月30日至2027年12月30日，该地的租赁费已一次性付清，因规划发展需要，国土相关部门划定了新的矿区范围，该范围与自然人顾朝波承包的林地有重叠区间48,868.22㎡，折合73.30 亩（该面积仅为自然人顾朝波承包的林地与新矿区的重叠区，不含曲靖市麒麟区三宝镇兴龙假龙潭采石场原矿区），根据本次评估目的，将上述所涉及的资产纳入了评估范围，详见评估明细表中的所有生物资产及长期待摊费用中第3项土地承包承租人权益，提请报告使用者关注！</w:t>
      </w:r>
    </w:p>
    <w:p>
      <w:pPr>
        <w:widowControl w:val="0"/>
        <w:spacing w:before="156" w:beforeLines="50" w:after="0" w:line="240" w:lineRule="auto"/>
        <w:ind w:firstLine="482" w:firstLineChars="200"/>
        <w:jc w:val="both"/>
      </w:pPr>
      <w:r>
        <w:rPr>
          <w:rFonts w:hint="eastAsia" w:ascii="Calibri" w:hAnsi="Calibri" w:eastAsia="仿宋"/>
          <w:b/>
          <w:bCs/>
          <w:sz w:val="24"/>
          <w:szCs w:val="24"/>
          <w:lang w:eastAsia="zh-CN"/>
        </w:rPr>
        <w:t>谨提请本资产评估报告使用人注意：以上内容摘自资产评估报告正文，欲了解本评估业务的详细情况和正确理解评估结论，应当阅读资产评估报告正文。</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hint="eastAsia" w:ascii="Calibri" w:hAnsi="Calibri" w:eastAsia="华文仿宋"/>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22" w:type="dxa"/>
      <w:tblInd w:w="0" w:type="dxa"/>
      <w:tblLayout w:type="fixed"/>
      <w:tblCellMar>
        <w:top w:w="0" w:type="dxa"/>
        <w:left w:w="108" w:type="dxa"/>
        <w:bottom w:w="0" w:type="dxa"/>
        <w:right w:w="108" w:type="dxa"/>
      </w:tblCellMar>
    </w:tblPr>
    <w:tblGrid>
      <w:gridCol w:w="1096"/>
      <w:gridCol w:w="7426"/>
    </w:tblGrid>
    <w:tr>
      <w:tc>
        <w:tcPr>
          <w:tcW w:w="1096" w:type="dxa"/>
          <w:vMerge w:val="restart"/>
          <w:vAlign w:val="center"/>
        </w:tcPr>
        <w:p>
          <w:pPr>
            <w:pStyle w:val="6"/>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12700" b="4445"/>
                <wp:docPr id="3"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w:t>
          </w:r>
          <w:r>
            <w:rPr>
              <w:rFonts w:hint="eastAsia" w:ascii="仿宋" w:hAnsi="仿宋" w:eastAsia="仿宋"/>
              <w:lang w:eastAsia="zh-CN"/>
            </w:rPr>
            <w:t>麒麟区三宝镇兴龙假龙潭采石场采矿权</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进行竞争性出让所涉及的麒麟区三宝镇兴龙假龙潭采石场采矿权</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涉矿相关资产市场价值资产</w:t>
          </w:r>
          <w:r>
            <w:rPr>
              <w:rFonts w:hint="eastAsia" w:ascii="Calibri" w:hAnsi="Calibri" w:eastAsia="仿宋"/>
              <w:lang w:eastAsia="zh-CN"/>
            </w:rPr>
            <w:t>评估报告·摘要</w:t>
          </w:r>
        </w:p>
      </w:tc>
    </w:tr>
  </w:tbl>
  <w:p>
    <w:pPr>
      <w:pStyle w:val="6"/>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jZjOTNiODlhYjY4ZjIyNjUxZTZlNzE1ZWYxMTQifQ=="/>
  </w:docVars>
  <w:rsids>
    <w:rsidRoot w:val="00000000"/>
    <w:rsid w:val="174823A2"/>
    <w:rsid w:val="345604CA"/>
    <w:rsid w:val="55194F4E"/>
    <w:rsid w:val="5D95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qFormat/>
    <w:uiPriority w:val="9"/>
    <w:pPr>
      <w:spacing w:before="480" w:after="0"/>
      <w:contextualSpacing/>
      <w:outlineLvl w:val="0"/>
    </w:pPr>
    <w:rPr>
      <w:smallCaps/>
      <w:spacing w:val="5"/>
      <w:sz w:val="36"/>
      <w:szCs w:val="36"/>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Normal Indent"/>
    <w:basedOn w:val="1"/>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5">
    <w:name w:val="footer"/>
    <w:basedOn w:val="1"/>
    <w:unhideWhenUsed/>
    <w:qFormat/>
    <w:uiPriority w:val="0"/>
    <w:pPr>
      <w:tabs>
        <w:tab w:val="center" w:pos="4153"/>
        <w:tab w:val="right" w:pos="8306"/>
      </w:tabs>
      <w:snapToGrid w:val="0"/>
      <w:spacing w:line="240" w:lineRule="auto"/>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2022-08-10T07:16:00Z</dcterms:created>
  <dc:creator>杨坤</dc:creator>
  <cp:lastModifiedBy>WPS_1591171339</cp:lastModifiedBy>
  <dcterms:modified xsi:type="dcterms:W3CDTF">2024-02-20T07:41:34Z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28084DF82ADF48ECAFAF25E6573792AC_12</vt:lpwstr>
  </property>
</Properties>
</file>