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bookmarkStart w:id="0" w:name="_Hlk23253334"/>
      <w:bookmarkStart w:id="1" w:name="_Toc447125208"/>
      <w:r>
        <w:rPr>
          <w:rFonts w:hint="eastAsia" w:eastAsia="仿宋" w:asciiTheme="minorHAnsi" w:hAnsiTheme="minorHAnsi"/>
          <w:b/>
          <w:bCs/>
          <w:kern w:val="2"/>
          <w:sz w:val="28"/>
          <w:szCs w:val="28"/>
          <w:lang w:eastAsia="zh-CN"/>
        </w:rPr>
        <w:t>曲靖市麒麟区自然资源局拟对麒麟区三宝兴龙采石场采矿权</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进行竞争性出让所涉及的麒麟区三宝兴龙采石场</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采矿权涉矿相关资产市场价值</w:t>
      </w:r>
    </w:p>
    <w:bookmarkEnd w:id="0"/>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lang w:eastAsia="zh-CN"/>
        </w:rPr>
      </w:pPr>
      <w:bookmarkStart w:id="2" w:name="_Toc18050"/>
      <w:r>
        <w:rPr>
          <w:rFonts w:hint="eastAsia" w:eastAsia="仿宋" w:asciiTheme="minorHAnsi" w:hAnsiTheme="minorHAnsi"/>
          <w:b/>
          <w:bCs/>
          <w:kern w:val="2"/>
          <w:sz w:val="28"/>
          <w:szCs w:val="28"/>
          <w:lang w:eastAsia="zh-CN"/>
        </w:rPr>
        <w:t>资产评估报告摘要</w:t>
      </w:r>
      <w:bookmarkEnd w:id="1"/>
      <w:bookmarkEnd w:id="2"/>
    </w:p>
    <w:p>
      <w:pPr>
        <w:shd w:val="clear"/>
        <w:adjustRightInd w:val="0"/>
        <w:snapToGrid w:val="0"/>
        <w:spacing w:after="100" w:line="240" w:lineRule="auto"/>
        <w:jc w:val="center"/>
        <w:rPr>
          <w:rFonts w:eastAsia="仿宋" w:asciiTheme="minorHAnsi" w:hAnsiTheme="minorHAnsi"/>
          <w:spacing w:val="18"/>
          <w:sz w:val="21"/>
          <w:szCs w:val="21"/>
          <w:highlight w:val="none"/>
          <w:lang w:eastAsia="zh-CN"/>
        </w:rPr>
      </w:pPr>
      <w:r>
        <w:rPr>
          <w:rFonts w:hint="eastAsia" w:eastAsia="仿宋" w:asciiTheme="minorHAnsi" w:hAnsiTheme="minorHAnsi"/>
          <w:spacing w:val="18"/>
          <w:sz w:val="21"/>
          <w:szCs w:val="21"/>
          <w:highlight w:val="none"/>
          <w:lang w:eastAsia="zh-CN"/>
        </w:rPr>
        <w:t>鹏信资估报字[</w:t>
      </w:r>
      <w:r>
        <w:rPr>
          <w:rFonts w:hint="eastAsia" w:ascii="Calibri" w:hAnsi="Calibri" w:eastAsia="仿宋"/>
          <w:spacing w:val="18"/>
          <w:sz w:val="21"/>
          <w:szCs w:val="21"/>
          <w:highlight w:val="none"/>
          <w:lang w:eastAsia="zh-CN"/>
        </w:rPr>
        <w:t>2024</w:t>
      </w:r>
      <w:r>
        <w:rPr>
          <w:rFonts w:hint="eastAsia" w:eastAsia="仿宋" w:asciiTheme="minorHAnsi" w:hAnsiTheme="minorHAnsi"/>
          <w:spacing w:val="18"/>
          <w:sz w:val="21"/>
          <w:szCs w:val="21"/>
          <w:highlight w:val="none"/>
          <w:lang w:eastAsia="zh-CN"/>
        </w:rPr>
        <w:t>]第YKM</w:t>
      </w:r>
      <w:r>
        <w:rPr>
          <w:rFonts w:hint="eastAsia" w:ascii="Calibri" w:hAnsi="Calibri" w:eastAsia="仿宋"/>
          <w:spacing w:val="18"/>
          <w:sz w:val="21"/>
          <w:szCs w:val="21"/>
          <w:highlight w:val="none"/>
          <w:lang w:eastAsia="zh-CN"/>
        </w:rPr>
        <w:t>007</w:t>
      </w:r>
      <w:r>
        <w:rPr>
          <w:rFonts w:hint="eastAsia" w:eastAsia="仿宋" w:asciiTheme="minorHAnsi" w:hAnsiTheme="minorHAnsi"/>
          <w:spacing w:val="18"/>
          <w:sz w:val="21"/>
          <w:szCs w:val="21"/>
          <w:highlight w:val="none"/>
          <w:lang w:eastAsia="zh-CN"/>
        </w:rPr>
        <w:t>号</w:t>
      </w:r>
    </w:p>
    <w:tbl>
      <w:tblPr>
        <w:tblStyle w:val="7"/>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，就曲靖市麒麟区自然资源局拟对麒麟区三宝兴龙采石场采矿权进行竞争性出让之经济行为所涉及的麒麟区三宝兴龙采石场采矿权涉矿相关资产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拟对“麒麟区三宝兴龙采石场采矿权”进行竞争性出让，为此，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委托深圳市鹏信资产评估土地房地产估价有限公司对此经济行为涉及的麒麟区三宝兴龙采石场采矿权涉矿相关资产的价值进行评估，为上述经济行为提供价值参考。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w:t>
      </w:r>
      <w:r>
        <w:rPr>
          <w:rFonts w:hint="eastAsia" w:ascii="Calibri" w:hAnsi="Calibri" w:eastAsia="仿宋"/>
          <w:spacing w:val="-6"/>
          <w:sz w:val="24"/>
          <w:szCs w:val="24"/>
          <w:lang w:eastAsia="zh-CN"/>
        </w:rPr>
        <w:t>麒麟区三宝兴龙采石场采矿权涉矿相关资产</w:t>
      </w:r>
      <w:r>
        <w:rPr>
          <w:rFonts w:hint="eastAsia" w:ascii="仿宋" w:hAnsi="仿宋" w:eastAsia="仿宋"/>
          <w:spacing w:val="-6"/>
          <w:sz w:val="24"/>
          <w:lang w:eastAsia="zh-CN"/>
        </w:rPr>
        <w:t>;评估范围：</w:t>
      </w:r>
      <w:r>
        <w:rPr>
          <w:rFonts w:hint="eastAsia" w:ascii="仿宋" w:hAnsi="仿宋" w:eastAsia="仿宋"/>
          <w:spacing w:val="-6"/>
          <w:sz w:val="24"/>
          <w:lang w:val="en-US" w:eastAsia="zh-CN"/>
        </w:rPr>
        <w:t>曲靖市麒麟区三宝兴龙采石场</w:t>
      </w:r>
      <w:r>
        <w:rPr>
          <w:rFonts w:hint="eastAsia" w:ascii="仿宋" w:hAnsi="仿宋" w:eastAsia="仿宋"/>
          <w:spacing w:val="-6"/>
          <w:sz w:val="24"/>
          <w:lang w:eastAsia="zh-CN"/>
        </w:rPr>
        <w:t>持有的</w:t>
      </w:r>
      <w:r>
        <w:rPr>
          <w:rFonts w:hint="eastAsia" w:ascii="仿宋" w:hAnsi="仿宋" w:eastAsia="仿宋"/>
          <w:spacing w:val="-6"/>
          <w:sz w:val="24"/>
          <w:lang w:val="en-US" w:eastAsia="zh-CN"/>
        </w:rPr>
        <w:t>产成品、低值易耗品、</w:t>
      </w:r>
      <w:r>
        <w:rPr>
          <w:rFonts w:hint="eastAsia" w:ascii="仿宋" w:hAnsi="仿宋" w:eastAsia="仿宋"/>
          <w:spacing w:val="-6"/>
          <w:sz w:val="24"/>
          <w:lang w:eastAsia="zh-CN"/>
        </w:rPr>
        <w:t>房屋类建筑物、构筑物类建筑物、机械类设备、</w:t>
      </w:r>
      <w:r>
        <w:rPr>
          <w:rFonts w:hint="eastAsia" w:ascii="仿宋" w:hAnsi="仿宋" w:eastAsia="仿宋"/>
          <w:spacing w:val="-6"/>
          <w:sz w:val="24"/>
          <w:lang w:val="en-US" w:eastAsia="zh-CN"/>
        </w:rPr>
        <w:t>运输类设备</w:t>
      </w:r>
      <w:r>
        <w:rPr>
          <w:rFonts w:hint="eastAsia" w:ascii="仿宋" w:hAnsi="仿宋" w:eastAsia="仿宋"/>
          <w:spacing w:val="-6"/>
          <w:sz w:val="24"/>
          <w:lang w:eastAsia="zh-CN"/>
        </w:rPr>
        <w:t>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三、评估基准日：2023年10月31日。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麒麟区三宝兴龙采石场采矿权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麒麟区三宝兴龙采石场采矿权</w:t>
      </w:r>
      <w:r>
        <w:rPr>
          <w:rFonts w:hint="eastAsia" w:ascii="Calibri" w:hAnsi="Calibri" w:eastAsia="仿宋"/>
          <w:sz w:val="24"/>
          <w:szCs w:val="24"/>
          <w:lang w:eastAsia="zh-CN"/>
        </w:rPr>
        <w:t>涉矿相关资产市场价值于评估基准日的评估值为：1,385.81万元人民币(大写：人民币【壹仟叁佰捌拾伍万捌仟壹佰】元整)</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评估结论使用有效期：通常情况下，评估结论的使用有效期自评估基准日2023年10月31日至202</w:t>
      </w:r>
      <w:r>
        <w:rPr>
          <w:rFonts w:hint="eastAsia" w:ascii="Calibri" w:hAnsi="Calibri" w:eastAsia="仿宋"/>
          <w:sz w:val="24"/>
          <w:szCs w:val="24"/>
          <w:lang w:val="en-US" w:eastAsia="zh-CN"/>
        </w:rPr>
        <w:t>4</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w:t>
      </w:r>
      <w:r>
        <w:rPr>
          <w:rFonts w:hint="eastAsia" w:ascii="Calibri" w:hAnsi="Calibri" w:eastAsia="仿宋"/>
          <w:sz w:val="24"/>
          <w:szCs w:val="24"/>
          <w:lang w:val="en-US" w:eastAsia="zh-CN"/>
        </w:rPr>
        <w:t>30</w:t>
      </w:r>
      <w:r>
        <w:rPr>
          <w:rFonts w:hint="eastAsia" w:ascii="Calibri" w:hAnsi="Calibri" w:eastAsia="仿宋"/>
          <w:sz w:val="24"/>
          <w:szCs w:val="24"/>
          <w:lang w:eastAsia="zh-CN"/>
        </w:rPr>
        <w:t>日止。</w:t>
      </w:r>
    </w:p>
    <w:p>
      <w:pPr>
        <w:pStyle w:val="4"/>
        <w:rPr>
          <w:rFonts w:hint="eastAsia" w:ascii="Calibri" w:hAnsi="Calibri" w:eastAsia="仿宋"/>
          <w:sz w:val="24"/>
          <w:szCs w:val="24"/>
          <w:lang w:val="en-US" w:eastAsia="zh-CN"/>
        </w:rPr>
      </w:pPr>
    </w:p>
    <w:p>
      <w:pPr>
        <w:pStyle w:val="4"/>
        <w:rPr>
          <w:rFonts w:hint="eastAsia" w:ascii="Calibri" w:hAnsi="Calibri" w:eastAsia="仿宋"/>
          <w:sz w:val="24"/>
          <w:szCs w:val="24"/>
          <w:lang w:val="en-US" w:eastAsia="zh-CN"/>
        </w:rPr>
      </w:pPr>
    </w:p>
    <w:p>
      <w:pPr>
        <w:pStyle w:val="4"/>
        <w:rPr>
          <w:rFonts w:hint="eastAsia" w:ascii="Calibri" w:hAnsi="Calibri" w:eastAsia="仿宋"/>
          <w:sz w:val="24"/>
          <w:szCs w:val="24"/>
          <w:lang w:val="en-US" w:eastAsia="zh-CN"/>
        </w:rPr>
      </w:pPr>
    </w:p>
    <w:p>
      <w:pPr>
        <w:pStyle w:val="4"/>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七、特别事项说明：</w:t>
      </w:r>
    </w:p>
    <w:p>
      <w:pPr>
        <w:widowControl w:val="0"/>
        <w:spacing w:before="156" w:beforeLines="50" w:after="0" w:line="240" w:lineRule="auto"/>
        <w:ind w:firstLine="504" w:firstLineChars="200"/>
        <w:jc w:val="both"/>
        <w:rPr>
          <w:rFonts w:hint="eastAsia" w:ascii="Calibri" w:hAnsi="Calibri" w:eastAsia="仿宋"/>
          <w:spacing w:val="6"/>
          <w:sz w:val="24"/>
          <w:szCs w:val="24"/>
          <w:lang w:val="en-US" w:eastAsia="zh-CN"/>
        </w:rPr>
      </w:pPr>
      <w:r>
        <w:rPr>
          <w:rFonts w:hint="eastAsia" w:ascii="Calibri" w:hAnsi="Calibri" w:eastAsia="仿宋"/>
          <w:spacing w:val="6"/>
          <w:sz w:val="24"/>
          <w:szCs w:val="24"/>
          <w:lang w:val="en-US" w:eastAsia="zh-CN"/>
        </w:rPr>
        <w:t>1.</w:t>
      </w:r>
      <w:r>
        <w:rPr>
          <w:rFonts w:hint="default" w:ascii="Calibri" w:hAnsi="Calibri" w:eastAsia="仿宋"/>
          <w:spacing w:val="6"/>
          <w:sz w:val="24"/>
          <w:szCs w:val="24"/>
          <w:lang w:val="en-US" w:eastAsia="zh-CN"/>
        </w:rPr>
        <w:t>本次评估中，产权持有单位另行委托曲靖正矩测绘有限公司对其持有的产成品数量进行了测量，并出具了《采石场方量测量计算报告》，产权持有单位根据该报告的存货数量进行了申报评估，产权持有单位对其提供资料的真实性、完整性负责；评估机构及资产评估师对在此基础上形成的评估结果承担法律责任。</w:t>
      </w:r>
    </w:p>
    <w:p>
      <w:pPr>
        <w:widowControl w:val="0"/>
        <w:spacing w:before="156" w:beforeLines="50" w:after="0" w:line="240" w:lineRule="auto"/>
        <w:ind w:firstLine="504" w:firstLineChars="200"/>
        <w:jc w:val="both"/>
        <w:rPr>
          <w:rFonts w:hint="eastAsia" w:ascii="Calibri" w:hAnsi="Calibri" w:eastAsia="仿宋" w:cs="Calibri"/>
          <w:sz w:val="24"/>
          <w:szCs w:val="24"/>
          <w:lang w:val="en-US" w:eastAsia="zh-CN" w:bidi="en-US"/>
        </w:rPr>
      </w:pPr>
      <w:r>
        <w:rPr>
          <w:rFonts w:hint="eastAsia" w:ascii="Calibri" w:hAnsi="Calibri" w:eastAsia="仿宋"/>
          <w:spacing w:val="6"/>
          <w:sz w:val="24"/>
          <w:szCs w:val="24"/>
          <w:lang w:val="en-US" w:eastAsia="zh-CN"/>
        </w:rPr>
        <w:t>2.本次评估中，曲靖市麒麟区三宝兴龙采石场所租用兴龙村委会土地的土地承包费，协议约定年租金330,000.00元，租金按年支付，产权持有单位未缴纳2023年度的土地租金，提请报告使用者关注</w:t>
      </w:r>
      <w:bookmarkStart w:id="3" w:name="_GoBack"/>
      <w:bookmarkEnd w:id="3"/>
      <w:r>
        <w:rPr>
          <w:rFonts w:hint="eastAsia" w:ascii="Calibri" w:hAnsi="Calibri" w:eastAsia="仿宋"/>
          <w:sz w:val="24"/>
          <w:szCs w:val="24"/>
          <w:lang w:val="en-US" w:eastAsia="zh-CN"/>
        </w:rPr>
        <w:t>！</w:t>
      </w:r>
    </w:p>
    <w:p>
      <w:pPr>
        <w:widowControl w:val="0"/>
        <w:spacing w:before="156" w:beforeLines="50" w:after="0" w:line="240" w:lineRule="auto"/>
        <w:ind w:firstLine="482" w:firstLineChars="200"/>
        <w:jc w:val="both"/>
      </w:pPr>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谨提请本资产评估报告使用人注意：以上内容摘自资产评估报告正文，欲了解本评估业务的详细情况和正确理解评估结论，应当阅读资产评估报告正文。</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Layout w:type="fixed"/>
      <w:tblCellMar>
        <w:top w:w="0" w:type="dxa"/>
        <w:left w:w="108" w:type="dxa"/>
        <w:bottom w:w="0" w:type="dxa"/>
        <w:right w:w="108" w:type="dxa"/>
      </w:tblCellMar>
    </w:tblPr>
    <w:tblGrid>
      <w:gridCol w:w="1096"/>
      <w:gridCol w:w="7426"/>
    </w:tblGrid>
    <w:tr>
      <w:tblPrEx>
        <w:tblCellMar>
          <w:top w:w="0" w:type="dxa"/>
          <w:left w:w="108" w:type="dxa"/>
          <w:bottom w:w="0" w:type="dxa"/>
          <w:right w:w="108" w:type="dxa"/>
        </w:tblCellMar>
      </w:tblPrEx>
      <w:tc>
        <w:tcPr>
          <w:tcW w:w="1096" w:type="dxa"/>
          <w:vMerge w:val="restart"/>
          <w:vAlign w:val="center"/>
        </w:tcPr>
        <w:p>
          <w:pPr>
            <w:pStyle w:val="6"/>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麒麟区</w:t>
          </w:r>
          <w:r>
            <w:rPr>
              <w:rFonts w:hint="eastAsia" w:ascii="仿宋" w:hAnsi="仿宋" w:eastAsia="仿宋"/>
              <w:lang w:val="en-US" w:eastAsia="zh-CN"/>
            </w:rPr>
            <w:t>三宝兴龙采石场</w:t>
          </w:r>
          <w:r>
            <w:rPr>
              <w:rFonts w:hint="eastAsia" w:ascii="仿宋" w:hAnsi="仿宋" w:eastAsia="仿宋"/>
              <w:lang w:eastAsia="zh-CN"/>
            </w:rPr>
            <w:t>采矿权进行竞争性出让所涉及的</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麒麟区</w:t>
          </w:r>
          <w:r>
            <w:rPr>
              <w:rFonts w:hint="eastAsia" w:ascii="仿宋" w:hAnsi="仿宋" w:eastAsia="仿宋"/>
              <w:lang w:val="en-US" w:eastAsia="zh-CN"/>
            </w:rPr>
            <w:t>三宝兴龙采石场</w:t>
          </w:r>
          <w:r>
            <w:rPr>
              <w:rFonts w:hint="eastAsia" w:ascii="仿宋" w:hAnsi="仿宋" w:eastAsia="仿宋"/>
              <w:lang w:eastAsia="zh-CN"/>
            </w:rPr>
            <w:t>采矿权涉矿相关资产市场价值资产</w:t>
          </w:r>
          <w:r>
            <w:rPr>
              <w:rFonts w:hint="eastAsia" w:ascii="Calibri" w:hAnsi="Calibri" w:eastAsia="仿宋"/>
              <w:lang w:eastAsia="zh-CN"/>
            </w:rPr>
            <w:t>评估报告·摘要</w:t>
          </w:r>
        </w:p>
      </w:tc>
    </w:tr>
  </w:tbl>
  <w:p>
    <w:pPr>
      <w:pStyle w:val="6"/>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jZjOTNiODlhYjY4ZjIyNjUxZTZlNzE1ZWYxMTQifQ=="/>
  </w:docVars>
  <w:rsids>
    <w:rsidRoot w:val="00000000"/>
    <w:rsid w:val="174823A2"/>
    <w:rsid w:val="25A278FA"/>
    <w:rsid w:val="345604CA"/>
    <w:rsid w:val="35D70964"/>
    <w:rsid w:val="55194F4E"/>
    <w:rsid w:val="5D9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autoRedefine/>
    <w:qFormat/>
    <w:uiPriority w:val="9"/>
    <w:pPr>
      <w:spacing w:before="480" w:after="0"/>
      <w:contextualSpacing/>
      <w:outlineLvl w:val="0"/>
    </w:pPr>
    <w:rPr>
      <w:smallCaps/>
      <w:spacing w:val="5"/>
      <w:sz w:val="36"/>
      <w:szCs w:val="36"/>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Normal Indent"/>
    <w:basedOn w:val="1"/>
    <w:autoRedefine/>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footer"/>
    <w:basedOn w:val="1"/>
    <w:unhideWhenUsed/>
    <w:qFormat/>
    <w:uiPriority w:val="0"/>
    <w:pPr>
      <w:tabs>
        <w:tab w:val="center" w:pos="4153"/>
        <w:tab w:val="right" w:pos="8306"/>
      </w:tabs>
      <w:snapToGrid w:val="0"/>
      <w:spacing w:line="240" w:lineRule="auto"/>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WPS_1591171339</cp:lastModifiedBy>
  <dcterms:modified xsi:type="dcterms:W3CDTF">2024-02-20T08:21:22Z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28084DF82ADF48ECAFAF25E6573792AC_12</vt:lpwstr>
  </property>
</Properties>
</file>