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0"/>
        </w:rPr>
      </w:pPr>
      <w:bookmarkStart w:id="31" w:name="_GoBack"/>
      <w:bookmarkEnd w:id="31"/>
      <w:r>
        <w:rPr>
          <w:rFonts w:hint="eastAsia"/>
          <w:b/>
          <w:bCs/>
          <w:sz w:val="36"/>
          <w:szCs w:val="40"/>
        </w:rPr>
        <w:t>曲靖市麒麟区三宝街道白砂坡采砂场建筑用砂矿</w:t>
      </w:r>
    </w:p>
    <w:p>
      <w:pPr>
        <w:jc w:val="center"/>
        <w:rPr>
          <w:b/>
          <w:bCs/>
          <w:sz w:val="36"/>
          <w:szCs w:val="40"/>
        </w:rPr>
      </w:pPr>
      <w:r>
        <w:rPr>
          <w:rFonts w:hint="eastAsia"/>
          <w:b/>
          <w:bCs/>
          <w:sz w:val="36"/>
          <w:szCs w:val="40"/>
        </w:rPr>
        <w:t>矿山地质环境保护与土地复垦方案</w:t>
      </w:r>
    </w:p>
    <w:p>
      <w:pPr>
        <w:jc w:val="center"/>
        <w:rPr>
          <w:b/>
          <w:bCs/>
          <w:sz w:val="36"/>
          <w:szCs w:val="40"/>
        </w:rPr>
      </w:pPr>
    </w:p>
    <w:p/>
    <w:p>
      <w:r>
        <w:rPr>
          <w:rFonts w:hint="eastAsia"/>
        </w:rPr>
        <w:t>附件一</w:t>
      </w:r>
    </w:p>
    <w:p/>
    <w:p/>
    <w:p/>
    <w:p>
      <w:r>
        <w:rPr>
          <w:rFonts w:hint="eastAsia"/>
        </w:rPr>
        <w:t>曲靖恒汇商贸有限公司</w:t>
      </w:r>
    </w:p>
    <w:p>
      <w:r>
        <w:rPr>
          <w:rFonts w:hint="eastAsia"/>
        </w:rPr>
        <w:t>二〇二三年六月</w:t>
      </w:r>
    </w:p>
    <w:p/>
    <w:p>
      <w:bookmarkStart w:id="0" w:name="_Toc41983145"/>
      <w:bookmarkStart w:id="1" w:name="_Toc42094333"/>
      <w:r>
        <w:rPr>
          <w:rFonts w:hint="eastAsia"/>
        </w:rPr>
        <w:t>第一部分   方案编制背景</w:t>
      </w:r>
      <w:bookmarkEnd w:id="0"/>
      <w:bookmarkEnd w:id="1"/>
    </w:p>
    <w:p>
      <w:bookmarkStart w:id="2" w:name="_Toc489024022"/>
      <w:bookmarkStart w:id="3" w:name="_Toc489006511"/>
      <w:bookmarkStart w:id="4" w:name="_Toc488826894"/>
      <w:bookmarkStart w:id="5" w:name="_Toc489006428"/>
      <w:bookmarkStart w:id="6" w:name="_Toc488998079"/>
      <w:r>
        <w:rPr>
          <w:rFonts w:hint="eastAsia"/>
        </w:rPr>
        <w:t>一、任务的由来</w:t>
      </w:r>
      <w:bookmarkEnd w:id="2"/>
      <w:bookmarkEnd w:id="3"/>
      <w:bookmarkEnd w:id="4"/>
      <w:bookmarkEnd w:id="5"/>
      <w:bookmarkEnd w:id="6"/>
    </w:p>
    <w:p>
      <w:r>
        <w:rPr>
          <w:rFonts w:hint="eastAsia"/>
        </w:rPr>
        <w:t>为满足曲靖市麒麟区三宝街道白砂坡采砂场建筑用砂矿采矿证(新立)登记手续的需求，根据云南省国土资源厅《云南省国土资源厅关于进一步规范矿山地质环境保护与土地复垦方案编报有关工作的通知》（云国土资〔</w:t>
      </w:r>
      <w:r>
        <w:t>20</w:t>
      </w:r>
      <w:r>
        <w:rPr>
          <w:rFonts w:hint="eastAsia"/>
        </w:rPr>
        <w:t>17〕96号文）的相关要求，将《矿山地质环境保护与恢复治理方案》和《土地复垦方案》合并编制统一评审备案，并将编制后的方案名称统一规范。麒麟区为加强矿山环境保护和土地复垦监察力度，在办理采矿权新立、延续或变更前，需提交采矿权范围矿山地质环境保护与土地复垦方案。曲靖市麒麟区三宝街道白砂坡采砂场建筑用砂矿为办理采矿权、征地、开发建设等提供矿山地质环境保护与土地复垦依据，委托曲靖市加能比地质工程勘察有限公司（下称我公司）编制</w:t>
      </w:r>
      <w:r>
        <w:t>了</w:t>
      </w:r>
      <w:r>
        <w:rPr>
          <w:rFonts w:hint="eastAsia"/>
        </w:rPr>
        <w:t>《曲靖市麒麟区三宝街道白砂坡采砂场建筑用砂矿矿山地质环境保护与土地复垦方案》的编制工作。并送相关部门评审、备案后，作为矿山后期办理采矿权登记材料所用。</w:t>
      </w:r>
    </w:p>
    <w:p/>
    <w:p>
      <w:bookmarkStart w:id="7" w:name="_Toc489006431"/>
      <w:bookmarkStart w:id="8" w:name="_Toc488826897"/>
      <w:bookmarkStart w:id="9" w:name="_Toc489006514"/>
      <w:bookmarkStart w:id="10" w:name="_Toc488998082"/>
      <w:bookmarkStart w:id="11" w:name="_Toc489024025"/>
      <w:r>
        <w:rPr>
          <w:rFonts w:hint="eastAsia"/>
        </w:rPr>
        <w:t>二、编制目的</w:t>
      </w:r>
      <w:bookmarkEnd w:id="7"/>
      <w:bookmarkEnd w:id="8"/>
      <w:bookmarkEnd w:id="9"/>
      <w:bookmarkEnd w:id="10"/>
      <w:bookmarkEnd w:id="11"/>
    </w:p>
    <w:p>
      <w:r>
        <w:t>为落实《</w:t>
      </w:r>
      <w:r>
        <w:rPr>
          <w:rFonts w:hint="eastAsia"/>
        </w:rPr>
        <w:t>矿山</w:t>
      </w:r>
      <w:r>
        <w:t>土</w:t>
      </w:r>
      <w:r>
        <w:rPr>
          <w:rFonts w:hint="eastAsia"/>
        </w:rPr>
        <w:t>地质环境</w:t>
      </w:r>
      <w:r>
        <w:t>保护</w:t>
      </w:r>
      <w:r>
        <w:rPr>
          <w:rFonts w:hint="eastAsia"/>
        </w:rPr>
        <w:t>规定</w:t>
      </w:r>
      <w:r>
        <w:t>》</w:t>
      </w:r>
      <w:r>
        <w:rPr>
          <w:rFonts w:hint="eastAsia"/>
        </w:rPr>
        <w:t>（国土</w:t>
      </w:r>
      <w:r>
        <w:t>资源部令第</w:t>
      </w:r>
      <w:r>
        <w:rPr>
          <w:rFonts w:hint="eastAsia"/>
        </w:rPr>
        <w:t>4</w:t>
      </w:r>
      <w:r>
        <w:t>4</w:t>
      </w:r>
      <w:r>
        <w:rPr>
          <w:rFonts w:hint="eastAsia"/>
        </w:rPr>
        <w:t>号）、</w:t>
      </w:r>
      <w:r>
        <w:t>《土地复垦条例实施办法》</w:t>
      </w:r>
      <w:r>
        <w:rPr>
          <w:rFonts w:hint="eastAsia"/>
        </w:rPr>
        <w:t>（国土</w:t>
      </w:r>
      <w:r>
        <w:t>资源部令第56</w:t>
      </w:r>
      <w:r>
        <w:rPr>
          <w:rFonts w:hint="eastAsia"/>
        </w:rPr>
        <w:t>号）</w:t>
      </w:r>
      <w:r>
        <w:t>及</w:t>
      </w:r>
      <w:r>
        <w:rPr>
          <w:rFonts w:hint="eastAsia"/>
        </w:rPr>
        <w:t>矿山地质环境保护与恢复</w:t>
      </w:r>
      <w:r>
        <w:t>治理</w:t>
      </w:r>
      <w:r>
        <w:rPr>
          <w:rFonts w:hint="eastAsia"/>
        </w:rPr>
        <w:t>，土地复垦相关</w:t>
      </w:r>
      <w:r>
        <w:t>文件</w:t>
      </w:r>
      <w:r>
        <w:rPr>
          <w:rFonts w:hint="eastAsia"/>
        </w:rPr>
        <w:t>要求。</w:t>
      </w:r>
      <w:r>
        <w:t>从事开采矿产资源生产建设活动</w:t>
      </w:r>
      <w:r>
        <w:rPr>
          <w:rFonts w:hint="eastAsia"/>
        </w:rPr>
        <w:t>，</w:t>
      </w:r>
      <w:r>
        <w:t>造成</w:t>
      </w:r>
      <w:r>
        <w:rPr>
          <w:rFonts w:hint="eastAsia"/>
        </w:rPr>
        <w:t>矿山地质环境破坏和</w:t>
      </w:r>
      <w:r>
        <w:t>土地损毁的单位或个人必须对</w:t>
      </w:r>
      <w:r>
        <w:rPr>
          <w:rFonts w:hint="eastAsia"/>
        </w:rPr>
        <w:t>被破坏的矿山地质环境和被损</w:t>
      </w:r>
      <w:r>
        <w:t>毁的土地承担</w:t>
      </w:r>
      <w:r>
        <w:rPr>
          <w:rFonts w:hint="eastAsia"/>
        </w:rPr>
        <w:t>矿山地质</w:t>
      </w:r>
      <w:r>
        <w:t>环境</w:t>
      </w:r>
      <w:r>
        <w:rPr>
          <w:rFonts w:hint="eastAsia"/>
        </w:rPr>
        <w:t>恢复治理及土地复</w:t>
      </w:r>
      <w:r>
        <w:t>垦责任和义务</w:t>
      </w:r>
      <w:r>
        <w:rPr>
          <w:rFonts w:hint="eastAsia"/>
        </w:rPr>
        <w:t>。</w:t>
      </w:r>
      <w:r>
        <w:t>要求</w:t>
      </w:r>
      <w:r>
        <w:rPr>
          <w:rFonts w:hint="eastAsia"/>
        </w:rPr>
        <w:t>责任人、</w:t>
      </w:r>
      <w:r>
        <w:t>义务人应编制</w:t>
      </w:r>
      <w:r>
        <w:rPr>
          <w:rFonts w:hint="eastAsia"/>
        </w:rPr>
        <w:t>矿山地质环境保护与</w:t>
      </w:r>
      <w:r>
        <w:t>土地复垦方案。</w:t>
      </w:r>
      <w:r>
        <w:rPr>
          <w:rFonts w:hint="eastAsia"/>
        </w:rPr>
        <w:t>为</w:t>
      </w:r>
      <w:r>
        <w:t>做好矿山地质环境</w:t>
      </w:r>
      <w:r>
        <w:rPr>
          <w:rFonts w:hint="eastAsia"/>
        </w:rPr>
        <w:t>恢复</w:t>
      </w:r>
      <w:r>
        <w:t>治理</w:t>
      </w:r>
      <w:r>
        <w:rPr>
          <w:rFonts w:hint="eastAsia"/>
        </w:rPr>
        <w:t>基</w:t>
      </w:r>
      <w:r>
        <w:t>金</w:t>
      </w:r>
      <w:r>
        <w:rPr>
          <w:rFonts w:hint="eastAsia"/>
        </w:rPr>
        <w:t>、土地复垦费用预存</w:t>
      </w:r>
      <w:r>
        <w:t>提供依据；为</w:t>
      </w:r>
      <w:r>
        <w:rPr>
          <w:rFonts w:hint="eastAsia"/>
        </w:rPr>
        <w:t>自然</w:t>
      </w:r>
      <w:r>
        <w:t>资源主管部门依法监督检查提供依据；为</w:t>
      </w:r>
      <w:r>
        <w:rPr>
          <w:rFonts w:hint="eastAsia"/>
        </w:rPr>
        <w:t>开展</w:t>
      </w:r>
      <w:r>
        <w:t>矿山地质环境保护</w:t>
      </w:r>
      <w:r>
        <w:rPr>
          <w:rFonts w:hint="eastAsia"/>
        </w:rPr>
        <w:t>恢复治理工程和矿山</w:t>
      </w:r>
      <w:r>
        <w:t>开展土地复垦提供技术指导</w:t>
      </w:r>
      <w:r>
        <w:rPr>
          <w:rFonts w:hint="eastAsia"/>
        </w:rPr>
        <w:t>。</w:t>
      </w:r>
    </w:p>
    <w:p>
      <w:r>
        <w:rPr>
          <w:rFonts w:hint="eastAsia"/>
        </w:rPr>
        <w:t>履行</w:t>
      </w:r>
      <w:r>
        <w:rPr>
          <w:rFonts w:hint="eastAsia"/>
          <w:lang w:eastAsia="zh-CN"/>
        </w:rPr>
        <w:t>《中华人民共和国土地管理法》</w:t>
      </w:r>
      <w:r>
        <w:rPr>
          <w:rFonts w:hint="eastAsia"/>
        </w:rPr>
        <w:t>及《土地复垦条例》等相关法律法规，贯彻落实《关于加强生产建设项目土地复垦管理工作的通知》(国土资发〔2006〕225号)文件精神，根据“谁损毁、谁复垦”的原则，本方案将明确该矿山在生产过程中损毁土地面积、范围、时段、方式等，进行损毁土地复垦的可行性分析，确定损毁土地的复垦利用方式，拟定复垦标准，提出复垦措施，测算复垦工程量及投资，安排复垦计划和保障措施等，为土地复垦的组织实施、实施管理、监督检查以及土地复垦费缴存等提供依据，最终起到保护并合理利用土地资源，改善工程区及矿山建设范围的生态环境，为矿山开采和运营创造条件，尽快使被损毁的土地复垦利用并尽可能达到最佳综合效益的状态，努力实现矿区社会经济生态可持续发展的目的。本次编制方案的目的是为办理采矿证手续提供依据。</w:t>
      </w:r>
    </w:p>
    <w:p/>
    <w:p/>
    <w:p/>
    <w:p/>
    <w:p/>
    <w:p/>
    <w:p>
      <w:r>
        <w:rPr>
          <w:rFonts w:hint="eastAsia"/>
        </w:rPr>
        <w:t>第二部分   矿山地质环境保护与土地复垦方案报告表</w:t>
      </w:r>
    </w:p>
    <w:p>
      <w:r>
        <w:t>表</w:t>
      </w:r>
      <w:r>
        <w:rPr>
          <w:rFonts w:hint="eastAsia"/>
        </w:rPr>
        <w:t>0-2                   恢复治理工程量统计表</w:t>
      </w:r>
    </w:p>
    <w:tbl>
      <w:tblPr>
        <w:tblStyle w:val="2"/>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471"/>
        <w:gridCol w:w="151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tcBorders>
              <w:top w:val="single" w:color="auto" w:sz="4" w:space="0"/>
              <w:left w:val="single" w:color="auto" w:sz="4" w:space="0"/>
              <w:bottom w:val="single" w:color="auto" w:sz="4" w:space="0"/>
              <w:right w:val="single" w:color="auto" w:sz="4" w:space="0"/>
            </w:tcBorders>
            <w:vAlign w:val="center"/>
          </w:tcPr>
          <w:p>
            <w:r>
              <w:rPr>
                <w:rFonts w:hint="eastAsia"/>
              </w:rPr>
              <w:t>预防工程名称</w:t>
            </w:r>
          </w:p>
        </w:tc>
        <w:tc>
          <w:tcPr>
            <w:tcW w:w="2471" w:type="dxa"/>
            <w:tcBorders>
              <w:top w:val="single" w:color="auto" w:sz="4" w:space="0"/>
              <w:left w:val="single" w:color="auto" w:sz="4" w:space="0"/>
              <w:bottom w:val="single" w:color="auto" w:sz="4" w:space="0"/>
              <w:right w:val="single" w:color="auto" w:sz="4" w:space="0"/>
            </w:tcBorders>
            <w:vAlign w:val="center"/>
          </w:tcPr>
          <w:p>
            <w:r>
              <w:t>项目</w:t>
            </w:r>
          </w:p>
        </w:tc>
        <w:tc>
          <w:tcPr>
            <w:tcW w:w="1510" w:type="dxa"/>
            <w:tcBorders>
              <w:top w:val="single" w:color="auto" w:sz="4" w:space="0"/>
              <w:left w:val="single" w:color="auto" w:sz="4" w:space="0"/>
              <w:bottom w:val="single" w:color="auto" w:sz="4" w:space="0"/>
              <w:right w:val="single" w:color="auto" w:sz="4" w:space="0"/>
            </w:tcBorders>
            <w:vAlign w:val="center"/>
          </w:tcPr>
          <w:p>
            <w:r>
              <w:t>单位</w:t>
            </w:r>
          </w:p>
        </w:tc>
        <w:tc>
          <w:tcPr>
            <w:tcW w:w="2414" w:type="dxa"/>
            <w:tcBorders>
              <w:top w:val="single" w:color="auto" w:sz="4" w:space="0"/>
              <w:left w:val="single" w:color="auto" w:sz="4" w:space="0"/>
              <w:bottom w:val="single" w:color="auto" w:sz="4" w:space="0"/>
              <w:right w:val="single" w:color="auto" w:sz="4" w:space="0"/>
            </w:tcBorders>
            <w:vAlign w:val="center"/>
          </w:tcPr>
          <w:p>
            <w: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tcBorders>
              <w:top w:val="single" w:color="auto" w:sz="4" w:space="0"/>
              <w:left w:val="single" w:color="auto" w:sz="4" w:space="0"/>
              <w:bottom w:val="single" w:color="auto" w:sz="4" w:space="0"/>
              <w:right w:val="single" w:color="auto" w:sz="4" w:space="0"/>
            </w:tcBorders>
            <w:vAlign w:val="center"/>
          </w:tcPr>
          <w:p>
            <w:r>
              <w:rPr>
                <w:rFonts w:hint="eastAsia"/>
              </w:rPr>
              <w:t>警示工程</w:t>
            </w: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警示牌</w:t>
            </w:r>
          </w:p>
        </w:tc>
        <w:tc>
          <w:tcPr>
            <w:tcW w:w="1510" w:type="dxa"/>
            <w:tcBorders>
              <w:top w:val="single" w:color="auto" w:sz="4" w:space="0"/>
              <w:left w:val="single" w:color="auto" w:sz="4" w:space="0"/>
              <w:bottom w:val="single" w:color="auto" w:sz="4" w:space="0"/>
              <w:right w:val="single" w:color="auto" w:sz="4" w:space="0"/>
            </w:tcBorders>
            <w:vAlign w:val="center"/>
          </w:tcPr>
          <w:p>
            <w:r>
              <w:rPr>
                <w:rFonts w:hint="eastAsia"/>
              </w:rPr>
              <w:t>块</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tcBorders>
              <w:top w:val="single" w:color="auto" w:sz="4" w:space="0"/>
              <w:left w:val="single" w:color="auto" w:sz="4" w:space="0"/>
              <w:bottom w:val="single" w:color="auto" w:sz="4" w:space="0"/>
              <w:right w:val="single" w:color="auto" w:sz="4" w:space="0"/>
            </w:tcBorders>
            <w:vAlign w:val="center"/>
          </w:tcPr>
          <w:p>
            <w:r>
              <w:rPr>
                <w:rFonts w:hint="eastAsia"/>
              </w:rPr>
              <w:t>潜在不稳定边坡</w:t>
            </w:r>
          </w:p>
        </w:tc>
        <w:tc>
          <w:tcPr>
            <w:tcW w:w="2471" w:type="dxa"/>
            <w:tcBorders>
              <w:top w:val="single" w:color="auto" w:sz="4" w:space="0"/>
              <w:left w:val="single" w:color="auto" w:sz="4" w:space="0"/>
              <w:bottom w:val="single" w:color="auto" w:sz="4" w:space="0"/>
              <w:right w:val="single" w:color="auto" w:sz="4" w:space="0"/>
            </w:tcBorders>
            <w:vAlign w:val="center"/>
          </w:tcPr>
          <w:p>
            <w:r>
              <w:t>削坡、坡面清理</w:t>
            </w:r>
          </w:p>
        </w:tc>
        <w:tc>
          <w:tcPr>
            <w:tcW w:w="1510" w:type="dxa"/>
            <w:tcBorders>
              <w:top w:val="single" w:color="auto" w:sz="4" w:space="0"/>
              <w:left w:val="single" w:color="auto" w:sz="4" w:space="0"/>
              <w:bottom w:val="single" w:color="auto" w:sz="4" w:space="0"/>
              <w:right w:val="single" w:color="auto" w:sz="4" w:space="0"/>
            </w:tcBorders>
            <w:vAlign w:val="center"/>
          </w:tcPr>
          <w:p>
            <w:r>
              <w:t>m3</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restart"/>
            <w:tcBorders>
              <w:top w:val="single" w:color="auto" w:sz="4" w:space="0"/>
              <w:left w:val="single" w:color="auto" w:sz="4" w:space="0"/>
              <w:right w:val="single" w:color="auto" w:sz="4" w:space="0"/>
            </w:tcBorders>
            <w:vAlign w:val="center"/>
          </w:tcPr>
          <w:p>
            <w:r>
              <w:rPr>
                <w:rFonts w:hint="eastAsia"/>
              </w:rPr>
              <w:t>排水沟工程(488m)</w:t>
            </w: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土方工程</w:t>
            </w:r>
          </w:p>
        </w:tc>
        <w:tc>
          <w:tcPr>
            <w:tcW w:w="1510" w:type="dxa"/>
            <w:tcBorders>
              <w:top w:val="single" w:color="auto" w:sz="4" w:space="0"/>
              <w:left w:val="single" w:color="auto" w:sz="4" w:space="0"/>
              <w:bottom w:val="single" w:color="auto" w:sz="4" w:space="0"/>
              <w:right w:val="single" w:color="auto" w:sz="4" w:space="0"/>
            </w:tcBorders>
            <w:vAlign w:val="center"/>
          </w:tcPr>
          <w:p>
            <w:r>
              <w:t>m3</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continue"/>
            <w:tcBorders>
              <w:left w:val="single" w:color="auto" w:sz="4" w:space="0"/>
              <w:right w:val="single" w:color="auto" w:sz="4" w:space="0"/>
            </w:tcBorders>
            <w:vAlign w:val="center"/>
          </w:tcP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石方工程</w:t>
            </w:r>
          </w:p>
        </w:tc>
        <w:tc>
          <w:tcPr>
            <w:tcW w:w="1510" w:type="dxa"/>
            <w:tcBorders>
              <w:top w:val="single" w:color="auto" w:sz="4" w:space="0"/>
              <w:left w:val="single" w:color="auto" w:sz="4" w:space="0"/>
              <w:bottom w:val="single" w:color="auto" w:sz="4" w:space="0"/>
              <w:right w:val="single" w:color="auto" w:sz="4" w:space="0"/>
            </w:tcBorders>
            <w:vAlign w:val="center"/>
          </w:tcPr>
          <w:p>
            <w:r>
              <w:t>m3</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continue"/>
            <w:tcBorders>
              <w:left w:val="single" w:color="auto" w:sz="4" w:space="0"/>
              <w:right w:val="single" w:color="auto" w:sz="4" w:space="0"/>
            </w:tcBorders>
            <w:vAlign w:val="center"/>
          </w:tcP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M7.5浆砌</w:t>
            </w:r>
          </w:p>
        </w:tc>
        <w:tc>
          <w:tcPr>
            <w:tcW w:w="1510" w:type="dxa"/>
            <w:tcBorders>
              <w:top w:val="single" w:color="auto" w:sz="4" w:space="0"/>
              <w:left w:val="single" w:color="auto" w:sz="4" w:space="0"/>
              <w:bottom w:val="single" w:color="auto" w:sz="4" w:space="0"/>
              <w:right w:val="single" w:color="auto" w:sz="4" w:space="0"/>
            </w:tcBorders>
            <w:vAlign w:val="center"/>
          </w:tcPr>
          <w:p>
            <w:r>
              <w:t>m3</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continue"/>
            <w:tcBorders>
              <w:left w:val="single" w:color="auto" w:sz="4" w:space="0"/>
              <w:right w:val="single" w:color="auto" w:sz="4" w:space="0"/>
            </w:tcBorders>
            <w:vAlign w:val="center"/>
          </w:tcP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M10砂浆抹面（平面）</w:t>
            </w:r>
          </w:p>
        </w:tc>
        <w:tc>
          <w:tcPr>
            <w:tcW w:w="1510" w:type="dxa"/>
            <w:tcBorders>
              <w:top w:val="single" w:color="auto" w:sz="4" w:space="0"/>
              <w:left w:val="single" w:color="auto" w:sz="4" w:space="0"/>
              <w:bottom w:val="single" w:color="auto" w:sz="4" w:space="0"/>
              <w:right w:val="single" w:color="auto" w:sz="4" w:space="0"/>
            </w:tcBorders>
            <w:vAlign w:val="center"/>
          </w:tcPr>
          <w:p>
            <w:r>
              <w:t>m2</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continue"/>
            <w:tcBorders>
              <w:left w:val="single" w:color="auto" w:sz="4" w:space="0"/>
              <w:right w:val="single" w:color="auto" w:sz="4" w:space="0"/>
            </w:tcBorders>
            <w:vAlign w:val="center"/>
          </w:tcP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M10砂浆抹面（立面）</w:t>
            </w:r>
          </w:p>
        </w:tc>
        <w:tc>
          <w:tcPr>
            <w:tcW w:w="1510" w:type="dxa"/>
            <w:tcBorders>
              <w:top w:val="single" w:color="auto" w:sz="4" w:space="0"/>
              <w:left w:val="single" w:color="auto" w:sz="4" w:space="0"/>
              <w:bottom w:val="single" w:color="auto" w:sz="4" w:space="0"/>
              <w:right w:val="single" w:color="auto" w:sz="4" w:space="0"/>
            </w:tcBorders>
            <w:vAlign w:val="center"/>
          </w:tcPr>
          <w:p>
            <w:r>
              <w:t>m2</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35" w:type="dxa"/>
            <w:tcBorders>
              <w:left w:val="single" w:color="auto" w:sz="4" w:space="0"/>
              <w:right w:val="single" w:color="auto" w:sz="4" w:space="0"/>
            </w:tcBorders>
            <w:vAlign w:val="center"/>
          </w:tcPr>
          <w:p>
            <w:r>
              <w:rPr>
                <w:rFonts w:hint="eastAsia"/>
              </w:rPr>
              <w:t>挡土墙(140m)</w:t>
            </w:r>
          </w:p>
        </w:tc>
        <w:tc>
          <w:tcPr>
            <w:tcW w:w="2471" w:type="dxa"/>
            <w:tcBorders>
              <w:top w:val="single" w:color="auto" w:sz="4" w:space="0"/>
              <w:left w:val="single" w:color="auto" w:sz="4" w:space="0"/>
              <w:right w:val="single" w:color="auto" w:sz="4" w:space="0"/>
            </w:tcBorders>
            <w:vAlign w:val="center"/>
          </w:tcPr>
          <w:p>
            <w:r>
              <w:rPr>
                <w:rFonts w:hint="eastAsia"/>
              </w:rPr>
              <w:t>编织土袋</w:t>
            </w:r>
          </w:p>
        </w:tc>
        <w:tc>
          <w:tcPr>
            <w:tcW w:w="1510" w:type="dxa"/>
            <w:tcBorders>
              <w:top w:val="single" w:color="auto" w:sz="4" w:space="0"/>
              <w:left w:val="single" w:color="auto" w:sz="4" w:space="0"/>
              <w:right w:val="single" w:color="auto" w:sz="4" w:space="0"/>
            </w:tcBorders>
            <w:vAlign w:val="center"/>
          </w:tcPr>
          <w:p>
            <w:r>
              <w:t>m3</w:t>
            </w:r>
          </w:p>
        </w:tc>
        <w:tc>
          <w:tcPr>
            <w:tcW w:w="2414" w:type="dxa"/>
            <w:tcBorders>
              <w:top w:val="single" w:color="auto" w:sz="4" w:space="0"/>
              <w:left w:val="single" w:color="auto" w:sz="4" w:space="0"/>
              <w:right w:val="single" w:color="auto" w:sz="4" w:space="0"/>
            </w:tcBorders>
            <w:vAlign w:val="center"/>
          </w:tcPr>
          <w:p>
            <w:r>
              <w:rPr>
                <w:rFonts w:hint="eastAsia"/>
              </w:rPr>
              <w:t>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35" w:type="dxa"/>
            <w:vMerge w:val="restart"/>
            <w:tcBorders>
              <w:left w:val="single" w:color="auto" w:sz="4" w:space="0"/>
              <w:right w:val="single" w:color="auto" w:sz="4" w:space="0"/>
            </w:tcBorders>
            <w:vAlign w:val="center"/>
          </w:tcPr>
          <w:p>
            <w:r>
              <w:rPr>
                <w:rFonts w:hint="eastAsia"/>
              </w:rPr>
              <w:t>防护围栏(1218 m)</w:t>
            </w:r>
          </w:p>
        </w:tc>
        <w:tc>
          <w:tcPr>
            <w:tcW w:w="2471" w:type="dxa"/>
            <w:tcBorders>
              <w:top w:val="single" w:color="auto" w:sz="4" w:space="0"/>
              <w:left w:val="single" w:color="auto" w:sz="4" w:space="0"/>
              <w:right w:val="single" w:color="auto" w:sz="4" w:space="0"/>
            </w:tcBorders>
            <w:vAlign w:val="center"/>
          </w:tcPr>
          <w:p>
            <w:r>
              <w:rPr>
                <w:rFonts w:hint="eastAsia"/>
              </w:rPr>
              <w:t>立柱基坑开挖</w:t>
            </w:r>
          </w:p>
        </w:tc>
        <w:tc>
          <w:tcPr>
            <w:tcW w:w="1510" w:type="dxa"/>
            <w:tcBorders>
              <w:top w:val="single" w:color="auto" w:sz="4" w:space="0"/>
              <w:left w:val="single" w:color="auto" w:sz="4" w:space="0"/>
              <w:right w:val="single" w:color="auto" w:sz="4" w:space="0"/>
            </w:tcBorders>
            <w:vAlign w:val="center"/>
          </w:tcPr>
          <w:p>
            <w:r>
              <w:t>m3</w:t>
            </w:r>
          </w:p>
        </w:tc>
        <w:tc>
          <w:tcPr>
            <w:tcW w:w="2414" w:type="dxa"/>
            <w:tcBorders>
              <w:top w:val="single" w:color="auto" w:sz="4" w:space="0"/>
              <w:left w:val="single" w:color="auto" w:sz="4" w:space="0"/>
              <w:right w:val="single" w:color="auto" w:sz="4" w:space="0"/>
            </w:tcBorders>
            <w:vAlign w:val="center"/>
          </w:tcPr>
          <w:p>
            <w:r>
              <w:rPr>
                <w:rFonts w:hint="eastAsia"/>
              </w:rPr>
              <w:t>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Merge w:val="continue"/>
            <w:tcBorders>
              <w:left w:val="single" w:color="auto" w:sz="4" w:space="0"/>
              <w:right w:val="single" w:color="auto" w:sz="4" w:space="0"/>
            </w:tcBorders>
            <w:vAlign w:val="center"/>
          </w:tcP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立柱基坑浇筑</w:t>
            </w:r>
          </w:p>
        </w:tc>
        <w:tc>
          <w:tcPr>
            <w:tcW w:w="1510" w:type="dxa"/>
            <w:tcBorders>
              <w:top w:val="single" w:color="auto" w:sz="4" w:space="0"/>
              <w:left w:val="single" w:color="auto" w:sz="4" w:space="0"/>
              <w:bottom w:val="single" w:color="auto" w:sz="4" w:space="0"/>
              <w:right w:val="single" w:color="auto" w:sz="4" w:space="0"/>
            </w:tcBorders>
            <w:vAlign w:val="center"/>
          </w:tcPr>
          <w:p>
            <w:r>
              <w:t>m3</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   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35" w:type="dxa"/>
            <w:tcBorders>
              <w:left w:val="single" w:color="auto" w:sz="4" w:space="0"/>
              <w:right w:val="single" w:color="auto" w:sz="4" w:space="0"/>
            </w:tcBorders>
            <w:vAlign w:val="center"/>
          </w:tcPr>
          <w:p>
            <w:r>
              <w:rPr>
                <w:rFonts w:hint="eastAsia"/>
              </w:rPr>
              <w:t>边坡挡土埂(6140 m)</w:t>
            </w:r>
          </w:p>
        </w:tc>
        <w:tc>
          <w:tcPr>
            <w:tcW w:w="2471" w:type="dxa"/>
            <w:tcBorders>
              <w:top w:val="single" w:color="auto" w:sz="4" w:space="0"/>
              <w:left w:val="single" w:color="auto" w:sz="4" w:space="0"/>
              <w:right w:val="single" w:color="auto" w:sz="4" w:space="0"/>
            </w:tcBorders>
            <w:vAlign w:val="center"/>
          </w:tcPr>
          <w:p>
            <w:r>
              <w:rPr>
                <w:rFonts w:hint="eastAsia"/>
              </w:rPr>
              <w:t>浆砌石</w:t>
            </w:r>
          </w:p>
        </w:tc>
        <w:tc>
          <w:tcPr>
            <w:tcW w:w="1510" w:type="dxa"/>
            <w:tcBorders>
              <w:top w:val="single" w:color="auto" w:sz="4" w:space="0"/>
              <w:left w:val="single" w:color="auto" w:sz="4" w:space="0"/>
              <w:right w:val="single" w:color="auto" w:sz="4" w:space="0"/>
            </w:tcBorders>
            <w:vAlign w:val="center"/>
          </w:tcPr>
          <w:p>
            <w:r>
              <w:t>m3</w:t>
            </w:r>
          </w:p>
        </w:tc>
        <w:tc>
          <w:tcPr>
            <w:tcW w:w="2414" w:type="dxa"/>
            <w:tcBorders>
              <w:top w:val="single" w:color="auto" w:sz="4" w:space="0"/>
              <w:left w:val="single" w:color="auto" w:sz="4" w:space="0"/>
              <w:right w:val="single" w:color="auto" w:sz="4" w:space="0"/>
            </w:tcBorders>
            <w:vAlign w:val="center"/>
          </w:tcPr>
          <w:p>
            <w:r>
              <w:rPr>
                <w:rFonts w:hint="eastAsia"/>
              </w:rPr>
              <w:t>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tcBorders>
              <w:left w:val="single" w:color="auto" w:sz="4" w:space="0"/>
              <w:bottom w:val="single" w:color="auto" w:sz="4" w:space="0"/>
              <w:right w:val="single" w:color="auto" w:sz="4" w:space="0"/>
            </w:tcBorders>
            <w:vAlign w:val="center"/>
          </w:tcPr>
          <w:p>
            <w:r>
              <w:rPr>
                <w:rFonts w:hint="eastAsia"/>
              </w:rPr>
              <w:t>监测工程</w:t>
            </w:r>
          </w:p>
        </w:tc>
        <w:tc>
          <w:tcPr>
            <w:tcW w:w="2471" w:type="dxa"/>
            <w:tcBorders>
              <w:top w:val="single" w:color="auto" w:sz="4" w:space="0"/>
              <w:left w:val="single" w:color="auto" w:sz="4" w:space="0"/>
              <w:bottom w:val="single" w:color="auto" w:sz="4" w:space="0"/>
              <w:right w:val="single" w:color="auto" w:sz="4" w:space="0"/>
            </w:tcBorders>
            <w:vAlign w:val="center"/>
          </w:tcPr>
          <w:p>
            <w:r>
              <w:rPr>
                <w:rFonts w:hint="eastAsia"/>
              </w:rPr>
              <w:t>监测点</w:t>
            </w:r>
          </w:p>
        </w:tc>
        <w:tc>
          <w:tcPr>
            <w:tcW w:w="1510" w:type="dxa"/>
            <w:tcBorders>
              <w:top w:val="single" w:color="auto" w:sz="4" w:space="0"/>
              <w:left w:val="single" w:color="auto" w:sz="4" w:space="0"/>
              <w:bottom w:val="single" w:color="auto" w:sz="4" w:space="0"/>
              <w:right w:val="single" w:color="auto" w:sz="4" w:space="0"/>
            </w:tcBorders>
            <w:vAlign w:val="center"/>
          </w:tcPr>
          <w:p>
            <w:r>
              <w:rPr>
                <w:rFonts w:hint="eastAsia"/>
              </w:rPr>
              <w:t>个</w:t>
            </w:r>
          </w:p>
        </w:tc>
        <w:tc>
          <w:tcPr>
            <w:tcW w:w="2414" w:type="dxa"/>
            <w:tcBorders>
              <w:top w:val="single" w:color="auto" w:sz="4" w:space="0"/>
              <w:left w:val="single" w:color="auto" w:sz="4" w:space="0"/>
              <w:bottom w:val="single" w:color="auto" w:sz="4" w:space="0"/>
              <w:right w:val="single" w:color="auto" w:sz="4" w:space="0"/>
            </w:tcBorders>
            <w:vAlign w:val="center"/>
          </w:tcPr>
          <w:p>
            <w:r>
              <w:rPr>
                <w:rFonts w:hint="eastAsia"/>
              </w:rPr>
              <w:t>6</w:t>
            </w:r>
          </w:p>
        </w:tc>
      </w:tr>
    </w:tbl>
    <w:p>
      <w:r>
        <w:t>1</w:t>
      </w:r>
      <w:r>
        <w:rPr>
          <w:rFonts w:hint="eastAsia"/>
        </w:rPr>
        <w:t>、矿山恢复治理投资估算</w:t>
      </w:r>
    </w:p>
    <w:p>
      <w:r>
        <w:rPr>
          <w:rFonts w:hint="eastAsia"/>
        </w:rPr>
        <w:t>本矿山剩余服务年限为12a，确定恢复治理方案编制年限为15a，方案适用期5a。</w:t>
      </w:r>
      <w:r>
        <w:t>经</w:t>
      </w:r>
      <w:r>
        <w:rPr>
          <w:rFonts w:hint="eastAsia"/>
        </w:rPr>
        <w:t>估</w:t>
      </w:r>
      <w:r>
        <w:t>算，矿山</w:t>
      </w:r>
      <w:r>
        <w:rPr>
          <w:rFonts w:hint="eastAsia"/>
        </w:rPr>
        <w:t>地质</w:t>
      </w:r>
      <w:r>
        <w:t>环境保护与</w:t>
      </w:r>
      <w:r>
        <w:rPr>
          <w:rFonts w:hint="eastAsia"/>
        </w:rPr>
        <w:t>恢复</w:t>
      </w:r>
      <w:r>
        <w:t>治理工程</w:t>
      </w:r>
      <w:r>
        <w:rPr>
          <w:rFonts w:hint="eastAsia"/>
        </w:rPr>
        <w:t>总投资60.5706万元（</w:t>
      </w:r>
      <w:r>
        <w:t>其中，</w:t>
      </w:r>
      <w:r>
        <w:rPr>
          <w:rFonts w:hint="eastAsia"/>
        </w:rPr>
        <w:t>工程措施费28.2822万</w:t>
      </w:r>
      <w:r>
        <w:t>元</w:t>
      </w:r>
      <w:r>
        <w:rPr>
          <w:rFonts w:hint="eastAsia"/>
        </w:rPr>
        <w:t>，临时措施费0.5656万</w:t>
      </w:r>
      <w:r>
        <w:t>元</w:t>
      </w:r>
      <w:r>
        <w:rPr>
          <w:rFonts w:hint="eastAsia"/>
        </w:rPr>
        <w:t>，监测费11.16万</w:t>
      </w:r>
      <w:r>
        <w:t>元</w:t>
      </w:r>
      <w:r>
        <w:rPr>
          <w:rFonts w:hint="eastAsia"/>
        </w:rPr>
        <w:t>，独立费用6.606万</w:t>
      </w:r>
      <w:r>
        <w:t>元</w:t>
      </w:r>
      <w:r>
        <w:rPr>
          <w:rFonts w:hint="eastAsia"/>
        </w:rPr>
        <w:t>，预备费2.7968万</w:t>
      </w:r>
      <w:r>
        <w:t>元</w:t>
      </w:r>
      <w:r>
        <w:rPr>
          <w:rFonts w:hint="eastAsia"/>
        </w:rPr>
        <w:t>）；方案适用期</w:t>
      </w:r>
      <w:r>
        <w:t>矿山</w:t>
      </w:r>
      <w:r>
        <w:rPr>
          <w:rFonts w:hint="eastAsia"/>
        </w:rPr>
        <w:t>地质</w:t>
      </w:r>
      <w:r>
        <w:t>环境保护与</w:t>
      </w:r>
      <w:r>
        <w:rPr>
          <w:rFonts w:hint="eastAsia"/>
        </w:rPr>
        <w:t>恢复</w:t>
      </w:r>
      <w:r>
        <w:t>治理工程</w:t>
      </w:r>
      <w:r>
        <w:rPr>
          <w:rFonts w:hint="eastAsia"/>
        </w:rPr>
        <w:t>总投资25.9632万元。</w:t>
      </w:r>
    </w:p>
    <w:p>
      <w:bookmarkStart w:id="12" w:name="_Toc488826906"/>
      <w:bookmarkStart w:id="13" w:name="_Toc489006440"/>
      <w:bookmarkStart w:id="14" w:name="_Toc121931784"/>
      <w:bookmarkStart w:id="15" w:name="_Toc488998091"/>
      <w:bookmarkStart w:id="16" w:name="_Toc489006523"/>
      <w:bookmarkStart w:id="17" w:name="_Toc489024034"/>
      <w:r>
        <w:rPr>
          <w:rFonts w:hint="eastAsia"/>
        </w:rPr>
        <w:t>(二)  土地复垦</w:t>
      </w:r>
      <w:bookmarkEnd w:id="12"/>
      <w:bookmarkEnd w:id="13"/>
      <w:bookmarkEnd w:id="14"/>
      <w:bookmarkEnd w:id="15"/>
      <w:bookmarkEnd w:id="16"/>
      <w:bookmarkEnd w:id="17"/>
    </w:p>
    <w:p>
      <w:r>
        <w:rPr>
          <w:rFonts w:hint="eastAsia"/>
        </w:rPr>
        <w:t>1、生产项目服务年限及土地复垦方案服务年限</w:t>
      </w:r>
    </w:p>
    <w:p>
      <w:pPr>
        <w:rPr>
          <w:highlight w:val="yellow"/>
        </w:rPr>
      </w:pPr>
      <w:r>
        <w:t>矿山生产年限</w:t>
      </w:r>
      <w:r>
        <w:rPr>
          <w:rFonts w:hint="eastAsia"/>
        </w:rPr>
        <w:t>12</w:t>
      </w:r>
      <w:r>
        <w:t>a</w:t>
      </w:r>
      <w:r>
        <w:rPr>
          <w:rFonts w:hint="eastAsia"/>
        </w:rPr>
        <w:t>，</w:t>
      </w:r>
      <w:r>
        <w:t>考虑矿山开采情况设计复垦后人工管护年限为3.0a。</w:t>
      </w:r>
      <w:r>
        <w:rPr>
          <w:rFonts w:hint="eastAsia"/>
        </w:rPr>
        <w:t>方案适用年限为5a，以后每5年编制一次。</w:t>
      </w:r>
      <w:r>
        <w:t>因此确定本方案的</w:t>
      </w:r>
      <w:r>
        <w:rPr>
          <w:rFonts w:hint="eastAsia"/>
        </w:rPr>
        <w:t>编制</w:t>
      </w:r>
      <w:r>
        <w:t>年限为</w:t>
      </w:r>
      <w:r>
        <w:rPr>
          <w:rFonts w:hint="eastAsia"/>
        </w:rPr>
        <w:t>15</w:t>
      </w:r>
      <w:r>
        <w:t>a，方案编制基准年为20</w:t>
      </w:r>
      <w:r>
        <w:rPr>
          <w:rFonts w:hint="eastAsia"/>
        </w:rPr>
        <w:t>23</w:t>
      </w:r>
      <w:r>
        <w:t>年，复垦起始年度为20</w:t>
      </w:r>
      <w:r>
        <w:rPr>
          <w:rFonts w:hint="eastAsia"/>
        </w:rPr>
        <w:t>23</w:t>
      </w:r>
      <w:r>
        <w:t>年</w:t>
      </w:r>
      <w:r>
        <w:rPr>
          <w:rFonts w:hint="eastAsia"/>
        </w:rPr>
        <w:t>5</w:t>
      </w:r>
      <w:r>
        <w:t>月，截止年度为</w:t>
      </w:r>
      <w:r>
        <w:rPr>
          <w:rFonts w:hint="eastAsia"/>
        </w:rPr>
        <w:t>2038</w:t>
      </w:r>
      <w:r>
        <w:t>年</w:t>
      </w:r>
      <w:r>
        <w:rPr>
          <w:rFonts w:hint="eastAsia"/>
        </w:rPr>
        <w:t>5</w:t>
      </w:r>
      <w:r>
        <w:t>月。</w:t>
      </w:r>
    </w:p>
    <w:p>
      <w:bookmarkStart w:id="18" w:name="_Toc487008187"/>
      <w:r>
        <w:rPr>
          <w:rFonts w:hint="eastAsia"/>
        </w:rPr>
        <w:t>2、土地损毁情况及土地复垦责任</w:t>
      </w:r>
      <w:bookmarkEnd w:id="18"/>
    </w:p>
    <w:p>
      <w:r>
        <w:t>依据土地损毁分析结果可知，云南省曲靖市麒麟区三宝街道白砂坡采砂场</w:t>
      </w:r>
      <w:r>
        <w:rPr>
          <w:rFonts w:hint="eastAsia"/>
        </w:rPr>
        <w:t>项目</w:t>
      </w:r>
      <w:r>
        <w:t>复垦区面积为</w:t>
      </w:r>
      <w:r>
        <w:rPr>
          <w:rFonts w:hint="eastAsia"/>
        </w:rPr>
        <w:t>9.672hm</w:t>
      </w:r>
      <w:r>
        <w:t>2，其中已损毁土地面积为</w:t>
      </w:r>
      <w:r>
        <w:rPr>
          <w:rFonts w:hint="eastAsia"/>
        </w:rPr>
        <w:t>1.5839hm</w:t>
      </w:r>
      <w:r>
        <w:t>2</w:t>
      </w:r>
      <w:r>
        <w:rPr>
          <w:rFonts w:hint="eastAsia"/>
        </w:rPr>
        <w:t>（原注销矿权损毁），</w:t>
      </w:r>
      <w:r>
        <w:t>拟损毁土地面积</w:t>
      </w:r>
      <w:r>
        <w:rPr>
          <w:rFonts w:hint="eastAsia"/>
        </w:rPr>
        <w:t>8.0881hm</w:t>
      </w:r>
      <w:r>
        <w:t>2</w:t>
      </w:r>
      <w:r>
        <w:rPr>
          <w:rFonts w:hint="eastAsia"/>
        </w:rPr>
        <w:t>。</w:t>
      </w:r>
      <w:r>
        <w:t>评估区内无永久性建设用地</w:t>
      </w:r>
      <w:r>
        <w:rPr>
          <w:rFonts w:hint="eastAsia"/>
        </w:rPr>
        <w:t>，</w:t>
      </w:r>
      <w:r>
        <w:t>因此复垦责任范围面积为</w:t>
      </w:r>
      <w:r>
        <w:rPr>
          <w:rFonts w:hint="eastAsia"/>
        </w:rPr>
        <w:t>9.672hm</w:t>
      </w:r>
      <w:r>
        <w:t>2。详见复垦区损毁土地地类面积统计表</w:t>
      </w:r>
      <w:r>
        <w:rPr>
          <w:rFonts w:hint="eastAsia"/>
        </w:rPr>
        <w:t>0-3</w:t>
      </w:r>
      <w:r>
        <w:t>。</w:t>
      </w:r>
    </w:p>
    <w:p>
      <w:r>
        <w:rPr>
          <w:rFonts w:hint="eastAsia"/>
        </w:rPr>
        <w:t xml:space="preserve">  表0-3               </w:t>
      </w:r>
      <w:r>
        <w:t>复垦区损毁土地地类面积统计表</w:t>
      </w:r>
    </w:p>
    <w:tbl>
      <w:tblPr>
        <w:tblStyle w:val="2"/>
        <w:tblW w:w="5000" w:type="pct"/>
        <w:tblInd w:w="0" w:type="dxa"/>
        <w:tblLayout w:type="autofit"/>
        <w:tblCellMar>
          <w:top w:w="0" w:type="dxa"/>
          <w:left w:w="108" w:type="dxa"/>
          <w:bottom w:w="0" w:type="dxa"/>
          <w:right w:w="108" w:type="dxa"/>
        </w:tblCellMar>
      </w:tblPr>
      <w:tblGrid>
        <w:gridCol w:w="1344"/>
        <w:gridCol w:w="1552"/>
        <w:gridCol w:w="1056"/>
        <w:gridCol w:w="1039"/>
        <w:gridCol w:w="1039"/>
        <w:gridCol w:w="640"/>
        <w:gridCol w:w="805"/>
        <w:gridCol w:w="1047"/>
      </w:tblGrid>
      <w:tr>
        <w:tblPrEx>
          <w:tblCellMar>
            <w:top w:w="0" w:type="dxa"/>
            <w:left w:w="108" w:type="dxa"/>
            <w:bottom w:w="0" w:type="dxa"/>
            <w:right w:w="108" w:type="dxa"/>
          </w:tblCellMar>
        </w:tblPrEx>
        <w:trPr>
          <w:trHeight w:val="497" w:hRule="atLeast"/>
        </w:trPr>
        <w:tc>
          <w:tcPr>
            <w:tcW w:w="831"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损毁状态</w:t>
            </w:r>
          </w:p>
        </w:tc>
        <w:tc>
          <w:tcPr>
            <w:tcW w:w="952" w:type="pct"/>
            <w:tcBorders>
              <w:top w:val="single" w:color="auto" w:sz="4" w:space="0"/>
              <w:left w:val="nil"/>
              <w:bottom w:val="single" w:color="auto" w:sz="4" w:space="0"/>
              <w:right w:val="single" w:color="auto" w:sz="4" w:space="0"/>
            </w:tcBorders>
            <w:shd w:val="clear" w:color="auto" w:fill="auto"/>
            <w:vAlign w:val="center"/>
          </w:tcPr>
          <w:p>
            <w:r>
              <w:rPr>
                <w:rFonts w:hint="eastAsia"/>
              </w:rPr>
              <w:t>损毁单元</w:t>
            </w:r>
          </w:p>
        </w:tc>
        <w:tc>
          <w:tcPr>
            <w:tcW w:w="597" w:type="pct"/>
            <w:tcBorders>
              <w:top w:val="single" w:color="auto" w:sz="4" w:space="0"/>
              <w:left w:val="nil"/>
              <w:bottom w:val="single" w:color="auto" w:sz="4" w:space="0"/>
              <w:right w:val="single" w:color="auto" w:sz="4" w:space="0"/>
            </w:tcBorders>
            <w:shd w:val="clear" w:color="auto" w:fill="auto"/>
            <w:vAlign w:val="center"/>
          </w:tcPr>
          <w:p>
            <w:r>
              <w:rPr>
                <w:rFonts w:hint="eastAsia"/>
              </w:rPr>
              <w:t>损毁地类</w:t>
            </w:r>
          </w:p>
        </w:tc>
        <w:tc>
          <w:tcPr>
            <w:tcW w:w="507" w:type="pct"/>
            <w:tcBorders>
              <w:top w:val="single" w:color="auto" w:sz="4" w:space="0"/>
              <w:left w:val="nil"/>
              <w:bottom w:val="single" w:color="auto" w:sz="4" w:space="0"/>
              <w:right w:val="single" w:color="auto" w:sz="4" w:space="0"/>
            </w:tcBorders>
            <w:shd w:val="clear" w:color="auto" w:fill="auto"/>
            <w:vAlign w:val="center"/>
          </w:tcPr>
          <w:p>
            <w:r>
              <w:rPr>
                <w:rFonts w:hint="eastAsia"/>
              </w:rPr>
              <w:t>损毁面积（hm2）</w:t>
            </w:r>
          </w:p>
        </w:tc>
        <w:tc>
          <w:tcPr>
            <w:tcW w:w="526" w:type="pct"/>
            <w:tcBorders>
              <w:top w:val="single" w:color="auto" w:sz="4" w:space="0"/>
              <w:left w:val="nil"/>
              <w:bottom w:val="single" w:color="auto" w:sz="4" w:space="0"/>
              <w:right w:val="single" w:color="auto" w:sz="4" w:space="0"/>
            </w:tcBorders>
            <w:shd w:val="clear" w:color="auto" w:fill="auto"/>
            <w:vAlign w:val="center"/>
          </w:tcPr>
          <w:p>
            <w:r>
              <w:rPr>
                <w:rFonts w:hint="eastAsia"/>
              </w:rPr>
              <w:t>合计损毁面积（hm2）</w:t>
            </w:r>
          </w:p>
        </w:tc>
        <w:tc>
          <w:tcPr>
            <w:tcW w:w="417" w:type="pct"/>
            <w:tcBorders>
              <w:top w:val="single" w:color="auto" w:sz="4" w:space="0"/>
              <w:left w:val="nil"/>
              <w:bottom w:val="single" w:color="auto" w:sz="4" w:space="0"/>
              <w:right w:val="single" w:color="auto" w:sz="4" w:space="0"/>
            </w:tcBorders>
            <w:shd w:val="clear" w:color="auto" w:fill="auto"/>
            <w:vAlign w:val="center"/>
          </w:tcPr>
          <w:p>
            <w:r>
              <w:rPr>
                <w:rFonts w:hint="eastAsia"/>
              </w:rPr>
              <w:t>损毁时序</w:t>
            </w:r>
          </w:p>
        </w:tc>
        <w:tc>
          <w:tcPr>
            <w:tcW w:w="514" w:type="pct"/>
            <w:tcBorders>
              <w:top w:val="single" w:color="auto" w:sz="4" w:space="0"/>
              <w:left w:val="nil"/>
              <w:bottom w:val="single" w:color="auto" w:sz="4" w:space="0"/>
              <w:right w:val="single" w:color="auto" w:sz="4" w:space="0"/>
            </w:tcBorders>
            <w:shd w:val="clear" w:color="auto" w:fill="auto"/>
            <w:vAlign w:val="center"/>
          </w:tcPr>
          <w:p>
            <w:r>
              <w:rPr>
                <w:rFonts w:hint="eastAsia"/>
              </w:rPr>
              <w:t>损毁方式</w:t>
            </w:r>
          </w:p>
        </w:tc>
        <w:tc>
          <w:tcPr>
            <w:tcW w:w="656" w:type="pct"/>
            <w:tcBorders>
              <w:top w:val="single" w:color="auto" w:sz="4" w:space="0"/>
              <w:left w:val="nil"/>
              <w:bottom w:val="single" w:color="auto" w:sz="4" w:space="0"/>
              <w:right w:val="single" w:color="auto" w:sz="4" w:space="0"/>
            </w:tcBorders>
            <w:shd w:val="clear" w:color="auto" w:fill="auto"/>
            <w:vAlign w:val="center"/>
          </w:tcPr>
          <w:p>
            <w:r>
              <w:rPr>
                <w:rFonts w:hint="eastAsia"/>
              </w:rPr>
              <w:t>损毁程度</w:t>
            </w:r>
          </w:p>
        </w:tc>
      </w:tr>
      <w:tr>
        <w:tblPrEx>
          <w:tblCellMar>
            <w:top w:w="0" w:type="dxa"/>
            <w:left w:w="108" w:type="dxa"/>
            <w:bottom w:w="0" w:type="dxa"/>
            <w:right w:w="108" w:type="dxa"/>
          </w:tblCellMar>
        </w:tblPrEx>
        <w:trPr>
          <w:trHeight w:val="402" w:hRule="atLeast"/>
        </w:trPr>
        <w:tc>
          <w:tcPr>
            <w:tcW w:w="831" w:type="pct"/>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已损毁</w:t>
            </w:r>
          </w:p>
        </w:tc>
        <w:tc>
          <w:tcPr>
            <w:tcW w:w="952" w:type="pct"/>
            <w:tcBorders>
              <w:top w:val="nil"/>
              <w:left w:val="nil"/>
              <w:bottom w:val="nil"/>
              <w:right w:val="single" w:color="auto" w:sz="4" w:space="0"/>
            </w:tcBorders>
            <w:shd w:val="clear" w:color="auto" w:fill="auto"/>
            <w:vAlign w:val="center"/>
          </w:tcPr>
          <w:p>
            <w:r>
              <w:rPr>
                <w:rFonts w:hint="eastAsia"/>
              </w:rPr>
              <w:t>矿外采空区</w:t>
            </w:r>
            <w:r>
              <w:rPr>
                <w:rFonts w:hint="eastAsia"/>
              </w:rPr>
              <w:br w:type="textWrapping"/>
            </w:r>
            <w:r>
              <w:rPr>
                <w:rFonts w:hint="eastAsia"/>
              </w:rPr>
              <w:t>（排土场）</w:t>
            </w: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采矿用地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1.1338</w:t>
            </w:r>
          </w:p>
        </w:tc>
        <w:tc>
          <w:tcPr>
            <w:tcW w:w="526" w:type="pct"/>
            <w:tcBorders>
              <w:top w:val="nil"/>
              <w:left w:val="nil"/>
              <w:bottom w:val="single" w:color="auto" w:sz="4" w:space="0"/>
              <w:right w:val="single" w:color="auto" w:sz="4" w:space="0"/>
            </w:tcBorders>
            <w:shd w:val="clear" w:color="auto" w:fill="auto"/>
            <w:vAlign w:val="center"/>
          </w:tcPr>
          <w:p>
            <w:r>
              <w:rPr>
                <w:rFonts w:hint="eastAsia"/>
              </w:rPr>
              <w:t>1.1338</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已损毁</w:t>
            </w:r>
          </w:p>
        </w:tc>
        <w:tc>
          <w:tcPr>
            <w:tcW w:w="514"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压占</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轻度</w:t>
            </w:r>
          </w:p>
        </w:tc>
      </w:tr>
      <w:tr>
        <w:tblPrEx>
          <w:tblCellMar>
            <w:top w:w="0" w:type="dxa"/>
            <w:left w:w="108" w:type="dxa"/>
            <w:bottom w:w="0" w:type="dxa"/>
            <w:right w:w="108" w:type="dxa"/>
          </w:tblCellMar>
        </w:tblPrEx>
        <w:trPr>
          <w:trHeight w:val="166"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tcBorders>
              <w:top w:val="single" w:color="auto" w:sz="4" w:space="0"/>
              <w:left w:val="nil"/>
              <w:bottom w:val="single" w:color="auto" w:sz="4" w:space="0"/>
              <w:right w:val="single" w:color="auto" w:sz="4" w:space="0"/>
            </w:tcBorders>
            <w:shd w:val="clear" w:color="auto" w:fill="auto"/>
            <w:vAlign w:val="center"/>
          </w:tcPr>
          <w:p>
            <w:r>
              <w:rPr>
                <w:rFonts w:hint="eastAsia"/>
              </w:rPr>
              <w:t>矿山公路</w:t>
            </w:r>
          </w:p>
        </w:tc>
        <w:tc>
          <w:tcPr>
            <w:tcW w:w="597" w:type="pct"/>
            <w:tcBorders>
              <w:top w:val="nil"/>
              <w:left w:val="nil"/>
              <w:bottom w:val="nil"/>
              <w:right w:val="single" w:color="auto" w:sz="4" w:space="0"/>
            </w:tcBorders>
            <w:shd w:val="clear" w:color="auto" w:fill="auto"/>
            <w:noWrap/>
            <w:vAlign w:val="center"/>
          </w:tcPr>
          <w:p>
            <w:r>
              <w:rPr>
                <w:rFonts w:hint="eastAsia"/>
              </w:rPr>
              <w:t>农村道路</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0.4501</w:t>
            </w:r>
          </w:p>
        </w:tc>
        <w:tc>
          <w:tcPr>
            <w:tcW w:w="526" w:type="pct"/>
            <w:tcBorders>
              <w:top w:val="nil"/>
              <w:left w:val="nil"/>
              <w:bottom w:val="single" w:color="auto" w:sz="4" w:space="0"/>
              <w:right w:val="single" w:color="auto" w:sz="4" w:space="0"/>
            </w:tcBorders>
            <w:shd w:val="clear" w:color="auto" w:fill="auto"/>
            <w:vAlign w:val="center"/>
          </w:tcPr>
          <w:p>
            <w:r>
              <w:rPr>
                <w:rFonts w:hint="eastAsia"/>
              </w:rPr>
              <w:t>0.4501</w:t>
            </w: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66"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tcBorders>
              <w:top w:val="nil"/>
              <w:left w:val="nil"/>
              <w:bottom w:val="single" w:color="auto" w:sz="4" w:space="0"/>
              <w:right w:val="single" w:color="auto" w:sz="4" w:space="0"/>
            </w:tcBorders>
            <w:shd w:val="clear" w:color="auto" w:fill="auto"/>
            <w:vAlign w:val="center"/>
          </w:tcPr>
          <w:p>
            <w:r>
              <w:rPr>
                <w:rFonts w:hint="eastAsia"/>
              </w:rPr>
              <w:t>小计</w:t>
            </w:r>
          </w:p>
        </w:tc>
        <w:tc>
          <w:tcPr>
            <w:tcW w:w="597" w:type="pct"/>
            <w:tcBorders>
              <w:top w:val="single" w:color="auto" w:sz="4" w:space="0"/>
              <w:left w:val="nil"/>
              <w:bottom w:val="single" w:color="auto" w:sz="4" w:space="0"/>
              <w:right w:val="single" w:color="auto" w:sz="4" w:space="0"/>
            </w:tcBorders>
            <w:shd w:val="clear" w:color="auto" w:fill="auto"/>
            <w:vAlign w:val="center"/>
          </w:tcPr>
          <w:p>
            <w:r>
              <w:rPr>
                <w:rFonts w:hint="eastAsia"/>
              </w:rPr>
              <w:t>　</w:t>
            </w:r>
          </w:p>
        </w:tc>
        <w:tc>
          <w:tcPr>
            <w:tcW w:w="507" w:type="pct"/>
            <w:tcBorders>
              <w:top w:val="nil"/>
              <w:left w:val="nil"/>
              <w:bottom w:val="single" w:color="auto" w:sz="4" w:space="0"/>
              <w:right w:val="single" w:color="auto" w:sz="4" w:space="0"/>
            </w:tcBorders>
            <w:shd w:val="clear" w:color="auto" w:fill="auto"/>
            <w:vAlign w:val="center"/>
          </w:tcPr>
          <w:p>
            <w:r>
              <w:rPr>
                <w:rFonts w:hint="eastAsia"/>
              </w:rPr>
              <w:t>　</w:t>
            </w:r>
          </w:p>
        </w:tc>
        <w:tc>
          <w:tcPr>
            <w:tcW w:w="526" w:type="pct"/>
            <w:tcBorders>
              <w:top w:val="nil"/>
              <w:left w:val="nil"/>
              <w:bottom w:val="single" w:color="auto" w:sz="4" w:space="0"/>
              <w:right w:val="single" w:color="auto" w:sz="4" w:space="0"/>
            </w:tcBorders>
            <w:shd w:val="clear" w:color="auto" w:fill="auto"/>
            <w:vAlign w:val="center"/>
          </w:tcPr>
          <w:p>
            <w:r>
              <w:rPr>
                <w:rFonts w:hint="eastAsia"/>
              </w:rPr>
              <w:t>1.5839</w:t>
            </w:r>
          </w:p>
        </w:tc>
        <w:tc>
          <w:tcPr>
            <w:tcW w:w="417" w:type="pct"/>
            <w:tcBorders>
              <w:top w:val="nil"/>
              <w:left w:val="nil"/>
              <w:bottom w:val="single" w:color="auto" w:sz="4" w:space="0"/>
              <w:right w:val="single" w:color="auto" w:sz="4" w:space="0"/>
            </w:tcBorders>
            <w:shd w:val="clear" w:color="auto" w:fill="auto"/>
            <w:vAlign w:val="center"/>
          </w:tcPr>
          <w:p>
            <w:r>
              <w:rPr>
                <w:rFonts w:hint="eastAsia"/>
              </w:rPr>
              <w:t>　</w:t>
            </w:r>
          </w:p>
        </w:tc>
        <w:tc>
          <w:tcPr>
            <w:tcW w:w="514" w:type="pct"/>
            <w:tcBorders>
              <w:top w:val="nil"/>
              <w:left w:val="nil"/>
              <w:bottom w:val="single" w:color="auto" w:sz="4" w:space="0"/>
              <w:right w:val="single" w:color="auto" w:sz="4" w:space="0"/>
            </w:tcBorders>
            <w:shd w:val="clear" w:color="auto" w:fill="auto"/>
            <w:vAlign w:val="center"/>
          </w:tcPr>
          <w:p>
            <w:r>
              <w:rPr>
                <w:rFonts w:hint="eastAsia"/>
              </w:rPr>
              <w:t>　</w:t>
            </w:r>
          </w:p>
        </w:tc>
        <w:tc>
          <w:tcPr>
            <w:tcW w:w="656" w:type="pct"/>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157" w:hRule="atLeast"/>
        </w:trPr>
        <w:tc>
          <w:tcPr>
            <w:tcW w:w="831" w:type="pct"/>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拟损毁</w:t>
            </w:r>
          </w:p>
        </w:tc>
        <w:tc>
          <w:tcPr>
            <w:tcW w:w="952"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破碎站、堆料场</w:t>
            </w: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旱地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0.748</w:t>
            </w:r>
          </w:p>
        </w:tc>
        <w:tc>
          <w:tcPr>
            <w:tcW w:w="526"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0.7527</w:t>
            </w:r>
          </w:p>
        </w:tc>
        <w:tc>
          <w:tcPr>
            <w:tcW w:w="417"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拟损毁</w:t>
            </w:r>
          </w:p>
        </w:tc>
        <w:tc>
          <w:tcPr>
            <w:tcW w:w="514"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压占</w:t>
            </w:r>
          </w:p>
        </w:tc>
        <w:tc>
          <w:tcPr>
            <w:tcW w:w="656" w:type="pct"/>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轻度</w:t>
            </w: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nil"/>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乔木林地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0.0047</w:t>
            </w:r>
          </w:p>
        </w:tc>
        <w:tc>
          <w:tcPr>
            <w:tcW w:w="526" w:type="pct"/>
            <w:vMerge w:val="continue"/>
            <w:tcBorders>
              <w:top w:val="nil"/>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tcBorders>
              <w:top w:val="nil"/>
              <w:left w:val="nil"/>
              <w:bottom w:val="nil"/>
              <w:right w:val="single" w:color="auto" w:sz="4" w:space="0"/>
            </w:tcBorders>
            <w:shd w:val="clear" w:color="auto" w:fill="auto"/>
            <w:vAlign w:val="center"/>
          </w:tcPr>
          <w:p>
            <w:r>
              <w:rPr>
                <w:rFonts w:hint="eastAsia"/>
              </w:rPr>
              <w:t>矿山公路</w:t>
            </w: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旱地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0.028</w:t>
            </w:r>
          </w:p>
        </w:tc>
        <w:tc>
          <w:tcPr>
            <w:tcW w:w="526" w:type="pct"/>
            <w:tcBorders>
              <w:top w:val="nil"/>
              <w:left w:val="nil"/>
              <w:bottom w:val="nil"/>
              <w:right w:val="single" w:color="auto" w:sz="4" w:space="0"/>
            </w:tcBorders>
            <w:shd w:val="clear" w:color="auto" w:fill="auto"/>
            <w:vAlign w:val="center"/>
          </w:tcPr>
          <w:p>
            <w:r>
              <w:rPr>
                <w:rFonts w:hint="eastAsia"/>
              </w:rPr>
              <w:t>0.028</w:t>
            </w: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tcBorders>
              <w:top w:val="single" w:color="auto" w:sz="4" w:space="0"/>
              <w:left w:val="nil"/>
              <w:bottom w:val="nil"/>
              <w:right w:val="single" w:color="auto" w:sz="4" w:space="0"/>
            </w:tcBorders>
            <w:shd w:val="clear" w:color="auto" w:fill="auto"/>
            <w:noWrap/>
            <w:vAlign w:val="center"/>
          </w:tcPr>
          <w:p>
            <w:r>
              <w:rPr>
                <w:rFonts w:hint="eastAsia"/>
              </w:rPr>
              <w:t>办公生活区</w:t>
            </w: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旱地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0.0419</w:t>
            </w:r>
          </w:p>
        </w:tc>
        <w:tc>
          <w:tcPr>
            <w:tcW w:w="526" w:type="pct"/>
            <w:tcBorders>
              <w:top w:val="single" w:color="auto" w:sz="4" w:space="0"/>
              <w:left w:val="nil"/>
              <w:bottom w:val="nil"/>
              <w:right w:val="single" w:color="auto" w:sz="4" w:space="0"/>
            </w:tcBorders>
            <w:shd w:val="clear" w:color="auto" w:fill="auto"/>
            <w:vAlign w:val="center"/>
          </w:tcPr>
          <w:p>
            <w:r>
              <w:rPr>
                <w:rFonts w:hint="eastAsia"/>
              </w:rPr>
              <w:t>0.0419</w:t>
            </w: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r>
              <w:rPr>
                <w:rFonts w:hint="eastAsia"/>
              </w:rPr>
              <w:t>拟采区（露采场）</w:t>
            </w: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旱地</w:t>
            </w:r>
          </w:p>
        </w:tc>
        <w:tc>
          <w:tcPr>
            <w:tcW w:w="507" w:type="pct"/>
            <w:tcBorders>
              <w:top w:val="nil"/>
              <w:left w:val="nil"/>
              <w:bottom w:val="single" w:color="auto" w:sz="4" w:space="0"/>
              <w:right w:val="single" w:color="auto" w:sz="4" w:space="0"/>
            </w:tcBorders>
            <w:shd w:val="clear" w:color="auto" w:fill="auto"/>
            <w:vAlign w:val="center"/>
          </w:tcPr>
          <w:p>
            <w:r>
              <w:rPr>
                <w:rFonts w:hint="eastAsia"/>
              </w:rPr>
              <w:t>6.5135</w:t>
            </w:r>
          </w:p>
        </w:tc>
        <w:tc>
          <w:tcPr>
            <w:tcW w:w="52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r>
              <w:rPr>
                <w:rFonts w:hint="eastAsia"/>
              </w:rPr>
              <w:t>7.2655</w:t>
            </w: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挖损</w:t>
            </w:r>
          </w:p>
        </w:tc>
        <w:tc>
          <w:tcPr>
            <w:tcW w:w="656" w:type="pct"/>
            <w:vMerge w:val="restart"/>
            <w:tcBorders>
              <w:top w:val="nil"/>
              <w:left w:val="single" w:color="auto" w:sz="4" w:space="0"/>
              <w:bottom w:val="single" w:color="000000" w:sz="4" w:space="0"/>
              <w:right w:val="single" w:color="auto" w:sz="4" w:space="0"/>
            </w:tcBorders>
            <w:shd w:val="clear" w:color="auto" w:fill="auto"/>
            <w:noWrap/>
            <w:vAlign w:val="center"/>
          </w:tcPr>
          <w:p>
            <w:r>
              <w:rPr>
                <w:rFonts w:hint="eastAsia"/>
              </w:rPr>
              <w:t>重度</w:t>
            </w: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single" w:color="auto" w:sz="4" w:space="0"/>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vAlign w:val="center"/>
          </w:tcPr>
          <w:p>
            <w:r>
              <w:rPr>
                <w:rFonts w:hint="eastAsia"/>
              </w:rPr>
              <w:t>果园</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0.0269</w:t>
            </w:r>
          </w:p>
        </w:tc>
        <w:tc>
          <w:tcPr>
            <w:tcW w:w="526" w:type="pct"/>
            <w:vMerge w:val="continue"/>
            <w:tcBorders>
              <w:top w:val="single" w:color="auto" w:sz="4" w:space="0"/>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single" w:color="auto" w:sz="4" w:space="0"/>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乔木林地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0.2006</w:t>
            </w:r>
          </w:p>
        </w:tc>
        <w:tc>
          <w:tcPr>
            <w:tcW w:w="526" w:type="pct"/>
            <w:vMerge w:val="continue"/>
            <w:tcBorders>
              <w:top w:val="single" w:color="auto" w:sz="4" w:space="0"/>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single" w:color="auto" w:sz="4" w:space="0"/>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灌木林地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0.4547</w:t>
            </w:r>
          </w:p>
        </w:tc>
        <w:tc>
          <w:tcPr>
            <w:tcW w:w="526" w:type="pct"/>
            <w:vMerge w:val="continue"/>
            <w:tcBorders>
              <w:top w:val="single" w:color="auto" w:sz="4" w:space="0"/>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single" w:color="auto" w:sz="4" w:space="0"/>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采矿用地</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0.0378</w:t>
            </w:r>
          </w:p>
        </w:tc>
        <w:tc>
          <w:tcPr>
            <w:tcW w:w="526" w:type="pct"/>
            <w:vMerge w:val="continue"/>
            <w:tcBorders>
              <w:top w:val="single" w:color="auto" w:sz="4" w:space="0"/>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952" w:type="pct"/>
            <w:vMerge w:val="continue"/>
            <w:tcBorders>
              <w:top w:val="single" w:color="auto" w:sz="4" w:space="0"/>
              <w:left w:val="single" w:color="auto" w:sz="4" w:space="0"/>
              <w:bottom w:val="single" w:color="000000" w:sz="4" w:space="0"/>
              <w:right w:val="single" w:color="auto" w:sz="4" w:space="0"/>
            </w:tcBorders>
            <w:vAlign w:val="center"/>
          </w:tcPr>
          <w:p/>
        </w:tc>
        <w:tc>
          <w:tcPr>
            <w:tcW w:w="597" w:type="pct"/>
            <w:tcBorders>
              <w:top w:val="nil"/>
              <w:left w:val="nil"/>
              <w:bottom w:val="single" w:color="auto" w:sz="4" w:space="0"/>
              <w:right w:val="single" w:color="auto" w:sz="4" w:space="0"/>
            </w:tcBorders>
            <w:shd w:val="clear" w:color="auto" w:fill="auto"/>
            <w:noWrap/>
            <w:vAlign w:val="center"/>
          </w:tcPr>
          <w:p>
            <w:r>
              <w:rPr>
                <w:rFonts w:hint="eastAsia"/>
              </w:rPr>
              <w:t>农村道路</w:t>
            </w:r>
          </w:p>
        </w:tc>
        <w:tc>
          <w:tcPr>
            <w:tcW w:w="507" w:type="pct"/>
            <w:tcBorders>
              <w:top w:val="nil"/>
              <w:left w:val="nil"/>
              <w:bottom w:val="single" w:color="auto" w:sz="4" w:space="0"/>
              <w:right w:val="single" w:color="auto" w:sz="4" w:space="0"/>
            </w:tcBorders>
            <w:shd w:val="clear" w:color="auto" w:fill="auto"/>
            <w:noWrap/>
            <w:vAlign w:val="center"/>
          </w:tcPr>
          <w:p>
            <w:r>
              <w:rPr>
                <w:rFonts w:hint="eastAsia"/>
              </w:rPr>
              <w:t>0.032</w:t>
            </w:r>
          </w:p>
        </w:tc>
        <w:tc>
          <w:tcPr>
            <w:tcW w:w="526" w:type="pct"/>
            <w:vMerge w:val="continue"/>
            <w:tcBorders>
              <w:top w:val="single" w:color="auto" w:sz="4" w:space="0"/>
              <w:left w:val="single" w:color="auto" w:sz="4" w:space="0"/>
              <w:bottom w:val="single" w:color="000000" w:sz="4" w:space="0"/>
              <w:right w:val="single" w:color="auto" w:sz="4" w:space="0"/>
            </w:tcBorders>
            <w:vAlign w:val="center"/>
          </w:tcPr>
          <w:p/>
        </w:tc>
        <w:tc>
          <w:tcPr>
            <w:tcW w:w="417" w:type="pct"/>
            <w:vMerge w:val="continue"/>
            <w:tcBorders>
              <w:top w:val="nil"/>
              <w:left w:val="single" w:color="auto" w:sz="4" w:space="0"/>
              <w:bottom w:val="single" w:color="000000" w:sz="4" w:space="0"/>
              <w:right w:val="single" w:color="auto" w:sz="4" w:space="0"/>
            </w:tcBorders>
            <w:vAlign w:val="center"/>
          </w:tcPr>
          <w:p/>
        </w:tc>
        <w:tc>
          <w:tcPr>
            <w:tcW w:w="514" w:type="pct"/>
            <w:vMerge w:val="continue"/>
            <w:tcBorders>
              <w:top w:val="nil"/>
              <w:left w:val="single" w:color="auto" w:sz="4" w:space="0"/>
              <w:bottom w:val="single" w:color="000000" w:sz="4" w:space="0"/>
              <w:right w:val="single" w:color="auto"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000000" w:sz="4" w:space="0"/>
              <w:right w:val="single" w:color="auto" w:sz="4" w:space="0"/>
            </w:tcBorders>
            <w:vAlign w:val="center"/>
          </w:tcPr>
          <w:p/>
        </w:tc>
        <w:tc>
          <w:tcPr>
            <w:tcW w:w="1549" w:type="pct"/>
            <w:gridSpan w:val="2"/>
            <w:tcBorders>
              <w:top w:val="single" w:color="auto" w:sz="4" w:space="0"/>
              <w:left w:val="nil"/>
              <w:bottom w:val="single" w:color="auto" w:sz="4" w:space="0"/>
              <w:right w:val="single" w:color="auto" w:sz="4" w:space="0"/>
            </w:tcBorders>
            <w:shd w:val="clear" w:color="auto" w:fill="auto"/>
            <w:vAlign w:val="center"/>
          </w:tcPr>
          <w:p>
            <w:r>
              <w:rPr>
                <w:rFonts w:hint="eastAsia"/>
              </w:rPr>
              <w:t>小计</w:t>
            </w:r>
          </w:p>
        </w:tc>
        <w:tc>
          <w:tcPr>
            <w:tcW w:w="507" w:type="pct"/>
            <w:tcBorders>
              <w:top w:val="nil"/>
              <w:left w:val="nil"/>
              <w:bottom w:val="single" w:color="auto" w:sz="4" w:space="0"/>
              <w:right w:val="single" w:color="auto" w:sz="4" w:space="0"/>
            </w:tcBorders>
            <w:shd w:val="clear" w:color="auto" w:fill="auto"/>
            <w:vAlign w:val="center"/>
          </w:tcPr>
          <w:p>
            <w:r>
              <w:rPr>
                <w:rFonts w:hint="eastAsia"/>
              </w:rPr>
              <w:t>　</w:t>
            </w:r>
          </w:p>
        </w:tc>
        <w:tc>
          <w:tcPr>
            <w:tcW w:w="526" w:type="pct"/>
            <w:tcBorders>
              <w:top w:val="nil"/>
              <w:left w:val="nil"/>
              <w:bottom w:val="single" w:color="auto" w:sz="4" w:space="0"/>
              <w:right w:val="single" w:color="auto" w:sz="4" w:space="0"/>
            </w:tcBorders>
            <w:shd w:val="clear" w:color="auto" w:fill="auto"/>
            <w:vAlign w:val="center"/>
          </w:tcPr>
          <w:p>
            <w:r>
              <w:rPr>
                <w:rFonts w:hint="eastAsia"/>
              </w:rPr>
              <w:t>7.2655</w:t>
            </w:r>
          </w:p>
        </w:tc>
        <w:tc>
          <w:tcPr>
            <w:tcW w:w="417" w:type="pct"/>
            <w:tcBorders>
              <w:top w:val="nil"/>
              <w:left w:val="nil"/>
              <w:bottom w:val="single" w:color="auto" w:sz="4" w:space="0"/>
              <w:right w:val="single" w:color="auto" w:sz="4" w:space="0"/>
            </w:tcBorders>
            <w:shd w:val="clear" w:color="auto" w:fill="auto"/>
            <w:vAlign w:val="center"/>
          </w:tcPr>
          <w:p>
            <w:r>
              <w:rPr>
                <w:rFonts w:hint="eastAsia"/>
              </w:rPr>
              <w:t>/</w:t>
            </w:r>
          </w:p>
        </w:tc>
        <w:tc>
          <w:tcPr>
            <w:tcW w:w="514" w:type="pct"/>
            <w:tcBorders>
              <w:top w:val="nil"/>
              <w:left w:val="nil"/>
              <w:bottom w:val="single" w:color="auto" w:sz="4" w:space="0"/>
              <w:right w:val="single" w:color="auto" w:sz="4" w:space="0"/>
            </w:tcBorders>
            <w:shd w:val="clear" w:color="auto" w:fill="auto"/>
            <w:vAlign w:val="center"/>
          </w:tcPr>
          <w:p>
            <w:r>
              <w:rPr>
                <w:rFonts w:hint="eastAsia"/>
              </w:rPr>
              <w:t>　</w:t>
            </w:r>
          </w:p>
        </w:tc>
        <w:tc>
          <w:tcPr>
            <w:tcW w:w="656" w:type="pct"/>
            <w:tcBorders>
              <w:top w:val="nil"/>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312" w:hRule="atLeast"/>
        </w:trPr>
        <w:tc>
          <w:tcPr>
            <w:tcW w:w="831" w:type="pct"/>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统计</w:t>
            </w:r>
          </w:p>
        </w:tc>
        <w:tc>
          <w:tcPr>
            <w:tcW w:w="154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已损毁土地面积</w:t>
            </w:r>
          </w:p>
        </w:tc>
        <w:tc>
          <w:tcPr>
            <w:tcW w:w="507" w:type="pct"/>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1.5839</w:t>
            </w:r>
          </w:p>
        </w:tc>
        <w:tc>
          <w:tcPr>
            <w:tcW w:w="526"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已压占</w:t>
            </w:r>
          </w:p>
        </w:tc>
        <w:tc>
          <w:tcPr>
            <w:tcW w:w="931"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r>
              <w:rPr>
                <w:rFonts w:hint="eastAsia"/>
              </w:rPr>
              <w:t>1.5839</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轻度</w:t>
            </w:r>
          </w:p>
        </w:tc>
      </w:tr>
      <w:tr>
        <w:tblPrEx>
          <w:tblCellMar>
            <w:top w:w="0" w:type="dxa"/>
            <w:left w:w="108" w:type="dxa"/>
            <w:bottom w:w="0" w:type="dxa"/>
            <w:right w:w="108" w:type="dxa"/>
          </w:tblCellMar>
        </w:tblPrEx>
        <w:trPr>
          <w:trHeight w:val="312" w:hRule="atLeast"/>
        </w:trPr>
        <w:tc>
          <w:tcPr>
            <w:tcW w:w="831" w:type="pct"/>
            <w:vMerge w:val="continue"/>
            <w:tcBorders>
              <w:top w:val="nil"/>
              <w:left w:val="single" w:color="auto" w:sz="4" w:space="0"/>
              <w:bottom w:val="single" w:color="auto" w:sz="4" w:space="0"/>
              <w:right w:val="single" w:color="auto" w:sz="4" w:space="0"/>
            </w:tcBorders>
            <w:vAlign w:val="center"/>
          </w:tcPr>
          <w:p/>
        </w:tc>
        <w:tc>
          <w:tcPr>
            <w:tcW w:w="1549" w:type="pct"/>
            <w:gridSpan w:val="2"/>
            <w:vMerge w:val="continue"/>
            <w:tcBorders>
              <w:top w:val="single" w:color="auto" w:sz="4" w:space="0"/>
              <w:left w:val="single" w:color="auto" w:sz="4" w:space="0"/>
              <w:bottom w:val="single" w:color="auto" w:sz="4" w:space="0"/>
              <w:right w:val="single" w:color="auto" w:sz="4" w:space="0"/>
            </w:tcBorders>
            <w:vAlign w:val="center"/>
          </w:tcPr>
          <w:p/>
        </w:tc>
        <w:tc>
          <w:tcPr>
            <w:tcW w:w="507" w:type="pct"/>
            <w:vMerge w:val="continue"/>
            <w:tcBorders>
              <w:top w:val="nil"/>
              <w:left w:val="single" w:color="auto" w:sz="4" w:space="0"/>
              <w:bottom w:val="single" w:color="auto" w:sz="4" w:space="0"/>
              <w:right w:val="single" w:color="auto" w:sz="4" w:space="0"/>
            </w:tcBorders>
            <w:vAlign w:val="center"/>
          </w:tcPr>
          <w:p/>
        </w:tc>
        <w:tc>
          <w:tcPr>
            <w:tcW w:w="526" w:type="pct"/>
            <w:vMerge w:val="continue"/>
            <w:tcBorders>
              <w:top w:val="nil"/>
              <w:left w:val="single" w:color="auto" w:sz="4" w:space="0"/>
              <w:bottom w:val="single" w:color="000000" w:sz="4" w:space="0"/>
              <w:right w:val="single" w:color="auto" w:sz="4" w:space="0"/>
            </w:tcBorders>
            <w:vAlign w:val="center"/>
          </w:tcPr>
          <w:p/>
        </w:tc>
        <w:tc>
          <w:tcPr>
            <w:tcW w:w="931" w:type="pct"/>
            <w:gridSpan w:val="2"/>
            <w:vMerge w:val="continue"/>
            <w:tcBorders>
              <w:top w:val="single" w:color="auto" w:sz="4" w:space="0"/>
              <w:left w:val="single" w:color="auto" w:sz="4" w:space="0"/>
              <w:bottom w:val="single" w:color="000000" w:sz="4" w:space="0"/>
              <w:right w:val="single" w:color="000000" w:sz="4" w:space="0"/>
            </w:tcBorders>
            <w:vAlign w:val="center"/>
          </w:tcPr>
          <w:p/>
        </w:tc>
        <w:tc>
          <w:tcPr>
            <w:tcW w:w="656" w:type="pct"/>
            <w:vMerge w:val="continue"/>
            <w:tcBorders>
              <w:top w:val="nil"/>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auto" w:sz="4" w:space="0"/>
              <w:right w:val="single" w:color="auto" w:sz="4" w:space="0"/>
            </w:tcBorders>
            <w:vAlign w:val="center"/>
          </w:tcPr>
          <w:p/>
        </w:tc>
        <w:tc>
          <w:tcPr>
            <w:tcW w:w="1549"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r>
              <w:rPr>
                <w:rFonts w:hint="eastAsia"/>
              </w:rPr>
              <w:t>拟损毁土地面积</w:t>
            </w:r>
          </w:p>
        </w:tc>
        <w:tc>
          <w:tcPr>
            <w:tcW w:w="507" w:type="pct"/>
            <w:vMerge w:val="restart"/>
            <w:tcBorders>
              <w:top w:val="nil"/>
              <w:left w:val="single" w:color="auto" w:sz="4" w:space="0"/>
              <w:bottom w:val="single" w:color="000000" w:sz="4" w:space="0"/>
              <w:right w:val="single" w:color="auto" w:sz="4" w:space="0"/>
            </w:tcBorders>
            <w:shd w:val="clear" w:color="auto" w:fill="auto"/>
            <w:vAlign w:val="center"/>
          </w:tcPr>
          <w:p>
            <w:r>
              <w:rPr>
                <w:rFonts w:hint="eastAsia"/>
              </w:rPr>
              <w:t>8.0881</w:t>
            </w:r>
          </w:p>
        </w:tc>
        <w:tc>
          <w:tcPr>
            <w:tcW w:w="526" w:type="pct"/>
            <w:tcBorders>
              <w:top w:val="nil"/>
              <w:left w:val="nil"/>
              <w:bottom w:val="single" w:color="auto" w:sz="4" w:space="0"/>
              <w:right w:val="single" w:color="auto" w:sz="4" w:space="0"/>
            </w:tcBorders>
            <w:shd w:val="clear" w:color="auto" w:fill="auto"/>
            <w:vAlign w:val="center"/>
          </w:tcPr>
          <w:p>
            <w:r>
              <w:rPr>
                <w:rFonts w:hint="eastAsia"/>
              </w:rPr>
              <w:t>拟压占</w:t>
            </w:r>
          </w:p>
        </w:tc>
        <w:tc>
          <w:tcPr>
            <w:tcW w:w="931" w:type="pct"/>
            <w:gridSpan w:val="2"/>
            <w:tcBorders>
              <w:top w:val="single" w:color="auto" w:sz="4" w:space="0"/>
              <w:left w:val="nil"/>
              <w:bottom w:val="single" w:color="auto" w:sz="4" w:space="0"/>
              <w:right w:val="single" w:color="000000" w:sz="4" w:space="0"/>
            </w:tcBorders>
            <w:shd w:val="clear" w:color="auto" w:fill="auto"/>
            <w:vAlign w:val="center"/>
          </w:tcPr>
          <w:p>
            <w:r>
              <w:rPr>
                <w:rFonts w:hint="eastAsia"/>
              </w:rPr>
              <w:t>0.8226</w:t>
            </w:r>
          </w:p>
        </w:tc>
        <w:tc>
          <w:tcPr>
            <w:tcW w:w="656" w:type="pct"/>
            <w:tcBorders>
              <w:top w:val="nil"/>
              <w:left w:val="nil"/>
              <w:bottom w:val="single" w:color="auto" w:sz="4" w:space="0"/>
              <w:right w:val="single" w:color="auto" w:sz="4" w:space="0"/>
            </w:tcBorders>
            <w:shd w:val="clear" w:color="auto" w:fill="auto"/>
            <w:vAlign w:val="center"/>
          </w:tcPr>
          <w:p>
            <w:r>
              <w:rPr>
                <w:rFonts w:hint="eastAsia"/>
              </w:rPr>
              <w:t>轻度</w:t>
            </w:r>
          </w:p>
        </w:tc>
      </w:tr>
      <w:tr>
        <w:tblPrEx>
          <w:tblCellMar>
            <w:top w:w="0" w:type="dxa"/>
            <w:left w:w="108" w:type="dxa"/>
            <w:bottom w:w="0" w:type="dxa"/>
            <w:right w:w="108" w:type="dxa"/>
          </w:tblCellMar>
        </w:tblPrEx>
        <w:trPr>
          <w:trHeight w:val="157" w:hRule="atLeast"/>
        </w:trPr>
        <w:tc>
          <w:tcPr>
            <w:tcW w:w="831" w:type="pct"/>
            <w:vMerge w:val="continue"/>
            <w:tcBorders>
              <w:top w:val="nil"/>
              <w:left w:val="single" w:color="auto" w:sz="4" w:space="0"/>
              <w:bottom w:val="single" w:color="auto" w:sz="4" w:space="0"/>
              <w:right w:val="single" w:color="auto" w:sz="4" w:space="0"/>
            </w:tcBorders>
            <w:vAlign w:val="center"/>
          </w:tcPr>
          <w:p/>
        </w:tc>
        <w:tc>
          <w:tcPr>
            <w:tcW w:w="1549" w:type="pct"/>
            <w:gridSpan w:val="2"/>
            <w:vMerge w:val="continue"/>
            <w:tcBorders>
              <w:top w:val="single" w:color="auto" w:sz="4" w:space="0"/>
              <w:left w:val="single" w:color="auto" w:sz="4" w:space="0"/>
              <w:bottom w:val="single" w:color="000000" w:sz="4" w:space="0"/>
              <w:right w:val="single" w:color="000000" w:sz="4" w:space="0"/>
            </w:tcBorders>
            <w:vAlign w:val="center"/>
          </w:tcPr>
          <w:p/>
        </w:tc>
        <w:tc>
          <w:tcPr>
            <w:tcW w:w="507" w:type="pct"/>
            <w:vMerge w:val="continue"/>
            <w:tcBorders>
              <w:top w:val="nil"/>
              <w:left w:val="single" w:color="auto" w:sz="4" w:space="0"/>
              <w:bottom w:val="single" w:color="000000" w:sz="4" w:space="0"/>
              <w:right w:val="single" w:color="auto" w:sz="4" w:space="0"/>
            </w:tcBorders>
            <w:vAlign w:val="center"/>
          </w:tcPr>
          <w:p/>
        </w:tc>
        <w:tc>
          <w:tcPr>
            <w:tcW w:w="526" w:type="pct"/>
            <w:tcBorders>
              <w:top w:val="nil"/>
              <w:left w:val="nil"/>
              <w:bottom w:val="single" w:color="auto" w:sz="4" w:space="0"/>
              <w:right w:val="single" w:color="auto" w:sz="4" w:space="0"/>
            </w:tcBorders>
            <w:shd w:val="clear" w:color="auto" w:fill="auto"/>
            <w:vAlign w:val="center"/>
          </w:tcPr>
          <w:p>
            <w:r>
              <w:rPr>
                <w:rFonts w:hint="eastAsia"/>
              </w:rPr>
              <w:t>拟挖损</w:t>
            </w:r>
          </w:p>
        </w:tc>
        <w:tc>
          <w:tcPr>
            <w:tcW w:w="931" w:type="pct"/>
            <w:gridSpan w:val="2"/>
            <w:tcBorders>
              <w:top w:val="single" w:color="auto" w:sz="4" w:space="0"/>
              <w:left w:val="nil"/>
              <w:bottom w:val="single" w:color="auto" w:sz="4" w:space="0"/>
              <w:right w:val="single" w:color="auto" w:sz="4" w:space="0"/>
            </w:tcBorders>
            <w:shd w:val="clear" w:color="auto" w:fill="auto"/>
            <w:vAlign w:val="center"/>
          </w:tcPr>
          <w:p>
            <w:r>
              <w:rPr>
                <w:rFonts w:hint="eastAsia"/>
              </w:rPr>
              <w:t>7.2655</w:t>
            </w:r>
          </w:p>
        </w:tc>
        <w:tc>
          <w:tcPr>
            <w:tcW w:w="656" w:type="pct"/>
            <w:tcBorders>
              <w:top w:val="nil"/>
              <w:left w:val="nil"/>
              <w:bottom w:val="single" w:color="auto" w:sz="4" w:space="0"/>
              <w:right w:val="single" w:color="auto" w:sz="4" w:space="0"/>
            </w:tcBorders>
            <w:shd w:val="clear" w:color="auto" w:fill="auto"/>
            <w:noWrap/>
            <w:vAlign w:val="center"/>
          </w:tcPr>
          <w:p>
            <w:r>
              <w:rPr>
                <w:rFonts w:hint="eastAsia"/>
              </w:rPr>
              <w:t>重度</w:t>
            </w:r>
          </w:p>
        </w:tc>
      </w:tr>
      <w:tr>
        <w:tblPrEx>
          <w:tblCellMar>
            <w:top w:w="0" w:type="dxa"/>
            <w:left w:w="108" w:type="dxa"/>
            <w:bottom w:w="0" w:type="dxa"/>
            <w:right w:w="108" w:type="dxa"/>
          </w:tblCellMar>
        </w:tblPrEx>
        <w:trPr>
          <w:trHeight w:val="157" w:hRule="atLeast"/>
        </w:trPr>
        <w:tc>
          <w:tcPr>
            <w:tcW w:w="17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合计</w:t>
            </w:r>
          </w:p>
        </w:tc>
        <w:tc>
          <w:tcPr>
            <w:tcW w:w="3217" w:type="pct"/>
            <w:gridSpan w:val="6"/>
            <w:tcBorders>
              <w:top w:val="single" w:color="auto" w:sz="4" w:space="0"/>
              <w:left w:val="nil"/>
              <w:bottom w:val="single" w:color="auto" w:sz="4" w:space="0"/>
              <w:right w:val="single" w:color="auto" w:sz="4" w:space="0"/>
            </w:tcBorders>
            <w:shd w:val="clear" w:color="auto" w:fill="auto"/>
            <w:vAlign w:val="center"/>
          </w:tcPr>
          <w:p>
            <w:r>
              <w:rPr>
                <w:rFonts w:hint="eastAsia"/>
              </w:rPr>
              <w:t>9.672</w:t>
            </w:r>
          </w:p>
        </w:tc>
      </w:tr>
    </w:tbl>
    <w:p>
      <w:r>
        <w:rPr>
          <w:rFonts w:hint="eastAsia"/>
        </w:rPr>
        <w:t xml:space="preserve"> 3、工程量统计表</w:t>
      </w:r>
    </w:p>
    <w:p>
      <w:r>
        <w:rPr>
          <w:rFonts w:hint="eastAsia"/>
        </w:rPr>
        <w:t>表0-4        曲靖市麒麟区三宝街道白砂坡采砂场土地复垦工程量统计表</w:t>
      </w:r>
    </w:p>
    <w:tbl>
      <w:tblPr>
        <w:tblStyle w:val="2"/>
        <w:tblW w:w="4957" w:type="pct"/>
        <w:tblInd w:w="0" w:type="dxa"/>
        <w:tblLayout w:type="autofit"/>
        <w:tblCellMar>
          <w:top w:w="0" w:type="dxa"/>
          <w:left w:w="108" w:type="dxa"/>
          <w:bottom w:w="0" w:type="dxa"/>
          <w:right w:w="108" w:type="dxa"/>
        </w:tblCellMar>
      </w:tblPr>
      <w:tblGrid>
        <w:gridCol w:w="934"/>
        <w:gridCol w:w="1794"/>
        <w:gridCol w:w="619"/>
        <w:gridCol w:w="1076"/>
        <w:gridCol w:w="865"/>
        <w:gridCol w:w="656"/>
        <w:gridCol w:w="145"/>
        <w:gridCol w:w="727"/>
        <w:gridCol w:w="816"/>
        <w:gridCol w:w="817"/>
      </w:tblGrid>
      <w:tr>
        <w:tblPrEx>
          <w:tblCellMar>
            <w:top w:w="0" w:type="dxa"/>
            <w:left w:w="108" w:type="dxa"/>
            <w:bottom w:w="0" w:type="dxa"/>
            <w:right w:w="108" w:type="dxa"/>
          </w:tblCellMar>
        </w:tblPrEx>
        <w:trPr>
          <w:trHeight w:val="210" w:hRule="exact"/>
        </w:trPr>
        <w:tc>
          <w:tcPr>
            <w:tcW w:w="57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序号</w:t>
            </w:r>
          </w:p>
        </w:tc>
        <w:tc>
          <w:tcPr>
            <w:tcW w:w="1079"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分项工程</w:t>
            </w:r>
          </w:p>
        </w:tc>
        <w:tc>
          <w:tcPr>
            <w:tcW w:w="342"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单位</w:t>
            </w:r>
          </w:p>
        </w:tc>
        <w:tc>
          <w:tcPr>
            <w:tcW w:w="654"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合计</w:t>
            </w:r>
          </w:p>
        </w:tc>
        <w:tc>
          <w:tcPr>
            <w:tcW w:w="529"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采区平台</w:t>
            </w:r>
          </w:p>
        </w:tc>
        <w:tc>
          <w:tcPr>
            <w:tcW w:w="466" w:type="pct"/>
            <w:gridSpan w:val="2"/>
            <w:vMerge w:val="restart"/>
            <w:tcBorders>
              <w:top w:val="single" w:color="auto" w:sz="4" w:space="0"/>
              <w:left w:val="nil"/>
              <w:right w:val="single" w:color="000000" w:sz="8" w:space="0"/>
            </w:tcBorders>
            <w:shd w:val="clear" w:color="auto" w:fill="auto"/>
            <w:tcMar>
              <w:left w:w="28" w:type="dxa"/>
              <w:right w:w="28" w:type="dxa"/>
            </w:tcMar>
            <w:vAlign w:val="center"/>
          </w:tcPr>
          <w:p>
            <w:r>
              <w:rPr>
                <w:rFonts w:hint="eastAsia"/>
              </w:rPr>
              <w:t>矿外采空区、排土场、堆料场</w:t>
            </w:r>
          </w:p>
        </w:tc>
        <w:tc>
          <w:tcPr>
            <w:tcW w:w="450"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r>
              <w:rPr>
                <w:rFonts w:hint="eastAsia"/>
              </w:rPr>
              <w:t>办公及生活区</w:t>
            </w:r>
          </w:p>
        </w:tc>
        <w:tc>
          <w:tcPr>
            <w:tcW w:w="454" w:type="pct"/>
            <w:tcBorders>
              <w:top w:val="single" w:color="auto" w:sz="4" w:space="0"/>
              <w:left w:val="nil"/>
              <w:bottom w:val="nil"/>
              <w:right w:val="single" w:color="auto" w:sz="4" w:space="0"/>
            </w:tcBorders>
            <w:shd w:val="clear" w:color="auto" w:fill="auto"/>
            <w:vAlign w:val="center"/>
          </w:tcPr>
          <w:p>
            <w:r>
              <w:rPr>
                <w:rFonts w:hint="eastAsia"/>
              </w:rPr>
              <w:t>矿山</w:t>
            </w:r>
          </w:p>
        </w:tc>
        <w:tc>
          <w:tcPr>
            <w:tcW w:w="454" w:type="pct"/>
            <w:vMerge w:val="restart"/>
            <w:tcBorders>
              <w:top w:val="single" w:color="auto" w:sz="4" w:space="0"/>
              <w:left w:val="nil"/>
              <w:right w:val="single" w:color="auto" w:sz="4" w:space="0"/>
            </w:tcBorders>
            <w:shd w:val="clear" w:color="auto" w:fill="auto"/>
            <w:vAlign w:val="center"/>
          </w:tcPr>
          <w:p>
            <w:r>
              <w:rPr>
                <w:rFonts w:hint="eastAsia"/>
              </w:rPr>
              <w:t>采区台阶</w:t>
            </w:r>
          </w:p>
        </w:tc>
      </w:tr>
      <w:tr>
        <w:tblPrEx>
          <w:tblCellMar>
            <w:top w:w="0" w:type="dxa"/>
            <w:left w:w="108" w:type="dxa"/>
            <w:bottom w:w="0" w:type="dxa"/>
            <w:right w:w="108" w:type="dxa"/>
          </w:tblCellMar>
        </w:tblPrEx>
        <w:trPr>
          <w:trHeight w:val="309" w:hRule="exact"/>
        </w:trPr>
        <w:tc>
          <w:tcPr>
            <w:tcW w:w="570" w:type="pct"/>
            <w:vMerge w:val="continue"/>
            <w:tcBorders>
              <w:top w:val="nil"/>
              <w:left w:val="single" w:color="000000" w:sz="8" w:space="0"/>
              <w:bottom w:val="single" w:color="000000" w:sz="8" w:space="0"/>
              <w:right w:val="single" w:color="000000" w:sz="8" w:space="0"/>
            </w:tcBorders>
            <w:vAlign w:val="center"/>
          </w:tcPr>
          <w:p/>
        </w:tc>
        <w:tc>
          <w:tcPr>
            <w:tcW w:w="1079" w:type="pct"/>
            <w:vMerge w:val="continue"/>
            <w:tcBorders>
              <w:top w:val="single" w:color="000000" w:sz="8" w:space="0"/>
              <w:left w:val="single" w:color="000000" w:sz="8" w:space="0"/>
              <w:bottom w:val="single" w:color="000000" w:sz="8" w:space="0"/>
              <w:right w:val="single" w:color="000000" w:sz="8" w:space="0"/>
            </w:tcBorders>
            <w:vAlign w:val="center"/>
          </w:tcPr>
          <w:p/>
        </w:tc>
        <w:tc>
          <w:tcPr>
            <w:tcW w:w="342" w:type="pct"/>
            <w:vMerge w:val="continue"/>
            <w:tcBorders>
              <w:top w:val="nil"/>
              <w:left w:val="single" w:color="000000" w:sz="8" w:space="0"/>
              <w:bottom w:val="single" w:color="000000" w:sz="8" w:space="0"/>
              <w:right w:val="single" w:color="000000" w:sz="8" w:space="0"/>
            </w:tcBorders>
            <w:vAlign w:val="center"/>
          </w:tcPr>
          <w:p/>
        </w:tc>
        <w:tc>
          <w:tcPr>
            <w:tcW w:w="654" w:type="pct"/>
            <w:vMerge w:val="continue"/>
            <w:tcBorders>
              <w:top w:val="nil"/>
              <w:left w:val="single" w:color="000000" w:sz="8" w:space="0"/>
              <w:bottom w:val="single" w:color="000000" w:sz="8" w:space="0"/>
              <w:right w:val="single" w:color="000000" w:sz="8" w:space="0"/>
            </w:tcBorders>
            <w:vAlign w:val="center"/>
          </w:tcPr>
          <w:p/>
        </w:tc>
        <w:tc>
          <w:tcPr>
            <w:tcW w:w="529" w:type="pct"/>
            <w:vMerge w:val="continue"/>
            <w:tcBorders>
              <w:top w:val="nil"/>
              <w:left w:val="single" w:color="000000" w:sz="8" w:space="0"/>
              <w:bottom w:val="single" w:color="000000" w:sz="8" w:space="0"/>
              <w:right w:val="single" w:color="000000" w:sz="8" w:space="0"/>
            </w:tcBorders>
            <w:vAlign w:val="center"/>
          </w:tcPr>
          <w:p/>
        </w:tc>
        <w:tc>
          <w:tcPr>
            <w:tcW w:w="466" w:type="pct"/>
            <w:gridSpan w:val="2"/>
            <w:vMerge w:val="continue"/>
            <w:tcBorders>
              <w:left w:val="nil"/>
              <w:bottom w:val="single" w:color="000000" w:sz="8" w:space="0"/>
              <w:right w:val="single" w:color="000000" w:sz="8" w:space="0"/>
            </w:tcBorders>
            <w:shd w:val="clear" w:color="auto" w:fill="auto"/>
            <w:vAlign w:val="center"/>
          </w:tcPr>
          <w:p/>
        </w:tc>
        <w:tc>
          <w:tcPr>
            <w:tcW w:w="450" w:type="pct"/>
            <w:vMerge w:val="continue"/>
            <w:tcBorders>
              <w:top w:val="nil"/>
              <w:left w:val="single" w:color="000000" w:sz="8" w:space="0"/>
              <w:bottom w:val="single" w:color="000000" w:sz="8" w:space="0"/>
              <w:right w:val="single" w:color="000000" w:sz="8" w:space="0"/>
            </w:tcBorders>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道路</w:t>
            </w:r>
          </w:p>
        </w:tc>
        <w:tc>
          <w:tcPr>
            <w:tcW w:w="454" w:type="pct"/>
            <w:vMerge w:val="continue"/>
            <w:tcBorders>
              <w:left w:val="nil"/>
              <w:bottom w:val="single" w:color="000000" w:sz="8"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一</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土壤重构工程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466"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450"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454"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土壤剥覆工程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466"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450" w:type="pct"/>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nil"/>
              <w:left w:val="nil"/>
              <w:bottom w:val="single" w:color="000000" w:sz="8" w:space="0"/>
              <w:right w:val="single" w:color="000000" w:sz="8" w:space="0"/>
            </w:tcBorders>
            <w:shd w:val="clear" w:color="auto" w:fill="auto"/>
            <w:vAlign w:val="center"/>
          </w:tcPr>
          <w:p>
            <w:r>
              <w:rPr>
                <w:rFonts w:hint="eastAsia"/>
              </w:rPr>
              <w:t>表土回覆</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m3</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30835</w:t>
            </w:r>
          </w:p>
        </w:tc>
        <w:tc>
          <w:tcPr>
            <w:tcW w:w="1447" w:type="pct"/>
            <w:gridSpan w:val="4"/>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26054</w:t>
            </w:r>
          </w:p>
        </w:tc>
        <w:tc>
          <w:tcPr>
            <w:tcW w:w="908" w:type="pct"/>
            <w:gridSpan w:val="2"/>
            <w:tcBorders>
              <w:top w:val="nil"/>
              <w:left w:val="nil"/>
              <w:bottom w:val="single" w:color="000000" w:sz="8" w:space="0"/>
              <w:right w:val="single" w:color="auto" w:sz="4" w:space="0"/>
            </w:tcBorders>
            <w:shd w:val="clear" w:color="auto" w:fill="auto"/>
            <w:vAlign w:val="center"/>
          </w:tcPr>
          <w:p>
            <w:r>
              <w:rPr>
                <w:rFonts w:hint="eastAsia"/>
              </w:rPr>
              <w:t>4781</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2</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土地平整工程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场地平整</w:t>
            </w:r>
          </w:p>
        </w:tc>
        <w:tc>
          <w:tcPr>
            <w:tcW w:w="342" w:type="pct"/>
            <w:tcBorders>
              <w:top w:val="nil"/>
              <w:left w:val="nil"/>
              <w:bottom w:val="single" w:color="000000" w:sz="8" w:space="0"/>
              <w:right w:val="single" w:color="000000" w:sz="8" w:space="0"/>
            </w:tcBorders>
            <w:shd w:val="clear" w:color="auto" w:fill="auto"/>
            <w:vAlign w:val="center"/>
          </w:tcP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548" w:type="pct"/>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-2</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人工平土</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hm2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6.4057</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3.2821</w:t>
            </w:r>
          </w:p>
        </w:tc>
        <w:tc>
          <w:tcPr>
            <w:tcW w:w="368" w:type="pct"/>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1.8865</w:t>
            </w:r>
          </w:p>
        </w:tc>
        <w:tc>
          <w:tcPr>
            <w:tcW w:w="548" w:type="pct"/>
            <w:gridSpan w:val="2"/>
            <w:tcBorders>
              <w:top w:val="nil"/>
              <w:left w:val="nil"/>
              <w:bottom w:val="single" w:color="000000" w:sz="8" w:space="0"/>
              <w:right w:val="single" w:color="auto" w:sz="4" w:space="0"/>
            </w:tcBorders>
            <w:shd w:val="clear" w:color="auto" w:fill="auto"/>
            <w:vAlign w:val="center"/>
          </w:tcPr>
          <w:p>
            <w:r>
              <w:rPr>
                <w:rFonts w:hint="eastAsia"/>
              </w:rPr>
              <w:t>0.0419</w:t>
            </w:r>
          </w:p>
        </w:tc>
        <w:tc>
          <w:tcPr>
            <w:tcW w:w="908" w:type="pct"/>
            <w:gridSpan w:val="2"/>
            <w:tcBorders>
              <w:top w:val="nil"/>
              <w:left w:val="nil"/>
              <w:bottom w:val="single" w:color="000000" w:sz="8" w:space="0"/>
              <w:right w:val="single" w:color="auto" w:sz="4" w:space="0"/>
            </w:tcBorders>
            <w:shd w:val="clear" w:color="auto" w:fill="auto"/>
            <w:vAlign w:val="center"/>
          </w:tcPr>
          <w:p>
            <w:r>
              <w:rPr>
                <w:rFonts w:hint="eastAsia"/>
              </w:rPr>
              <w:t>1.1952</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-3</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土壤培肥（土地翻耕）</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hm2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6.4057×3</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3.2821</w:t>
            </w:r>
          </w:p>
        </w:tc>
        <w:tc>
          <w:tcPr>
            <w:tcW w:w="368" w:type="pct"/>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1.8865</w:t>
            </w:r>
          </w:p>
        </w:tc>
        <w:tc>
          <w:tcPr>
            <w:tcW w:w="548" w:type="pct"/>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r>
              <w:rPr>
                <w:rFonts w:hint="eastAsia"/>
              </w:rPr>
              <w:t>0.0419</w:t>
            </w:r>
          </w:p>
        </w:tc>
        <w:tc>
          <w:tcPr>
            <w:tcW w:w="908" w:type="pct"/>
            <w:gridSpan w:val="2"/>
            <w:tcBorders>
              <w:top w:val="nil"/>
              <w:left w:val="nil"/>
              <w:bottom w:val="single" w:color="000000" w:sz="8" w:space="0"/>
              <w:right w:val="single" w:color="auto" w:sz="4" w:space="0"/>
            </w:tcBorders>
            <w:shd w:val="clear" w:color="auto" w:fill="auto"/>
            <w:vAlign w:val="center"/>
          </w:tcPr>
          <w:p>
            <w:r>
              <w:rPr>
                <w:rFonts w:hint="eastAsia"/>
              </w:rPr>
              <w:t>1.1952</w:t>
            </w:r>
          </w:p>
        </w:tc>
      </w:tr>
      <w:tr>
        <w:tblPrEx>
          <w:tblCellMar>
            <w:top w:w="0" w:type="dxa"/>
            <w:left w:w="108" w:type="dxa"/>
            <w:bottom w:w="0" w:type="dxa"/>
            <w:right w:w="108" w:type="dxa"/>
          </w:tblCellMar>
        </w:tblPrEx>
        <w:trPr>
          <w:trHeight w:val="363"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-4</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土壤培肥(撒播光叶紫花苕子)</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hm2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6.4057×3</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3.2821</w:t>
            </w:r>
          </w:p>
        </w:tc>
        <w:tc>
          <w:tcPr>
            <w:tcW w:w="368" w:type="pct"/>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1.8865</w:t>
            </w:r>
          </w:p>
        </w:tc>
        <w:tc>
          <w:tcPr>
            <w:tcW w:w="548" w:type="pct"/>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r>
              <w:rPr>
                <w:rFonts w:hint="eastAsia"/>
              </w:rPr>
              <w:t>0.0419</w:t>
            </w:r>
          </w:p>
        </w:tc>
        <w:tc>
          <w:tcPr>
            <w:tcW w:w="908" w:type="pct"/>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r>
              <w:rPr>
                <w:rFonts w:hint="eastAsia"/>
              </w:rPr>
              <w:t>1.1952</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-5</w:t>
            </w:r>
          </w:p>
        </w:tc>
        <w:tc>
          <w:tcPr>
            <w:tcW w:w="1079" w:type="pct"/>
            <w:tcBorders>
              <w:top w:val="nil"/>
              <w:left w:val="nil"/>
              <w:bottom w:val="single" w:color="000000" w:sz="8" w:space="0"/>
              <w:right w:val="single" w:color="000000" w:sz="8" w:space="0"/>
            </w:tcBorders>
            <w:shd w:val="clear" w:color="auto" w:fill="auto"/>
            <w:vAlign w:val="center"/>
          </w:tcPr>
          <w:p>
            <w:r>
              <w:rPr>
                <w:rFonts w:hint="eastAsia"/>
              </w:rPr>
              <w:t>砌体拆除</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419</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419</w:t>
            </w:r>
          </w:p>
        </w:tc>
        <w:tc>
          <w:tcPr>
            <w:tcW w:w="454"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-6</w:t>
            </w:r>
          </w:p>
        </w:tc>
        <w:tc>
          <w:tcPr>
            <w:tcW w:w="1079" w:type="pct"/>
            <w:tcBorders>
              <w:top w:val="nil"/>
              <w:left w:val="nil"/>
              <w:bottom w:val="single" w:color="000000" w:sz="8" w:space="0"/>
              <w:right w:val="single" w:color="000000" w:sz="8" w:space="0"/>
            </w:tcBorders>
            <w:shd w:val="clear" w:color="auto" w:fill="auto"/>
            <w:vAlign w:val="center"/>
          </w:tcPr>
          <w:p>
            <w:r>
              <w:rPr>
                <w:rFonts w:hint="eastAsia"/>
              </w:rPr>
              <w:t>硬化地坪拆除</w:t>
            </w:r>
          </w:p>
        </w:tc>
        <w:tc>
          <w:tcPr>
            <w:tcW w:w="342" w:type="pct"/>
            <w:tcBorders>
              <w:top w:val="nil"/>
              <w:left w:val="nil"/>
              <w:bottom w:val="single" w:color="000000" w:sz="8" w:space="0"/>
              <w:right w:val="single" w:color="000000" w:sz="8" w:space="0"/>
            </w:tcBorders>
            <w:shd w:val="clear" w:color="auto" w:fill="auto"/>
            <w:vAlign w:val="center"/>
          </w:tcPr>
          <w:p>
            <w:r>
              <w:t>m3</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75</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75</w:t>
            </w:r>
          </w:p>
        </w:tc>
        <w:tc>
          <w:tcPr>
            <w:tcW w:w="454"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-7</w:t>
            </w:r>
          </w:p>
        </w:tc>
        <w:tc>
          <w:tcPr>
            <w:tcW w:w="1079" w:type="pct"/>
            <w:tcBorders>
              <w:top w:val="nil"/>
              <w:left w:val="nil"/>
              <w:bottom w:val="single" w:color="000000" w:sz="8" w:space="0"/>
              <w:right w:val="single" w:color="000000" w:sz="8" w:space="0"/>
            </w:tcBorders>
            <w:shd w:val="clear" w:color="auto" w:fill="auto"/>
            <w:vAlign w:val="center"/>
          </w:tcPr>
          <w:p>
            <w:r>
              <w:rPr>
                <w:rFonts w:hint="eastAsia"/>
              </w:rPr>
              <w:t>基础</w:t>
            </w:r>
          </w:p>
        </w:tc>
        <w:tc>
          <w:tcPr>
            <w:tcW w:w="342" w:type="pct"/>
            <w:tcBorders>
              <w:top w:val="nil"/>
              <w:left w:val="nil"/>
              <w:bottom w:val="single" w:color="000000" w:sz="8" w:space="0"/>
              <w:right w:val="single" w:color="000000" w:sz="8" w:space="0"/>
            </w:tcBorders>
            <w:shd w:val="clear" w:color="auto" w:fill="auto"/>
            <w:vAlign w:val="center"/>
          </w:tcPr>
          <w:p>
            <w:r>
              <w:t>m3</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35</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35</w:t>
            </w:r>
          </w:p>
        </w:tc>
        <w:tc>
          <w:tcPr>
            <w:tcW w:w="454"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-8</w:t>
            </w:r>
          </w:p>
        </w:tc>
        <w:tc>
          <w:tcPr>
            <w:tcW w:w="1079" w:type="pct"/>
            <w:tcBorders>
              <w:top w:val="nil"/>
              <w:left w:val="nil"/>
              <w:bottom w:val="single" w:color="000000" w:sz="8" w:space="0"/>
              <w:right w:val="single" w:color="000000" w:sz="8" w:space="0"/>
            </w:tcBorders>
            <w:shd w:val="clear" w:color="auto" w:fill="auto"/>
            <w:vAlign w:val="center"/>
          </w:tcPr>
          <w:p>
            <w:r>
              <w:rPr>
                <w:rFonts w:hint="eastAsia"/>
              </w:rPr>
              <w:t>（建筑垃圾）</w:t>
            </w:r>
            <w:r>
              <w:t>废渣清理</w:t>
            </w:r>
          </w:p>
        </w:tc>
        <w:tc>
          <w:tcPr>
            <w:tcW w:w="342" w:type="pct"/>
            <w:tcBorders>
              <w:top w:val="nil"/>
              <w:left w:val="nil"/>
              <w:bottom w:val="single" w:color="000000" w:sz="8" w:space="0"/>
              <w:right w:val="single" w:color="000000" w:sz="8" w:space="0"/>
            </w:tcBorders>
            <w:shd w:val="clear" w:color="auto" w:fill="auto"/>
            <w:vAlign w:val="center"/>
          </w:tcPr>
          <w:p>
            <w:r>
              <w:t>m3</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445</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445</w:t>
            </w:r>
          </w:p>
        </w:tc>
        <w:tc>
          <w:tcPr>
            <w:tcW w:w="454" w:type="pct"/>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二</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植被重建工程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single" w:color="000000" w:sz="8" w:space="0"/>
              <w:left w:val="nil"/>
              <w:bottom w:val="single" w:color="000000" w:sz="8" w:space="0"/>
              <w:right w:val="single" w:color="000000" w:sz="8" w:space="0"/>
            </w:tcBorders>
            <w:shd w:val="clear" w:color="auto" w:fill="auto"/>
            <w:vAlign w:val="center"/>
          </w:tcPr>
          <w:p>
            <w:r>
              <w:t>种植圆柏</w:t>
            </w:r>
          </w:p>
        </w:tc>
        <w:tc>
          <w:tcPr>
            <w:tcW w:w="342" w:type="pct"/>
            <w:tcBorders>
              <w:top w:val="nil"/>
              <w:left w:val="nil"/>
              <w:bottom w:val="single" w:color="000000" w:sz="8" w:space="0"/>
              <w:right w:val="single" w:color="000000" w:sz="8" w:space="0"/>
            </w:tcBorders>
            <w:shd w:val="clear" w:color="auto" w:fill="auto"/>
            <w:vAlign w:val="center"/>
          </w:tcPr>
          <w:p>
            <w:r>
              <w:t>株</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3320</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tc>
        <w:tc>
          <w:tcPr>
            <w:tcW w:w="908" w:type="pct"/>
            <w:gridSpan w:val="2"/>
            <w:tcBorders>
              <w:top w:val="nil"/>
              <w:left w:val="nil"/>
              <w:bottom w:val="single" w:color="000000" w:sz="8" w:space="0"/>
              <w:right w:val="single" w:color="auto" w:sz="4" w:space="0"/>
            </w:tcBorders>
            <w:shd w:val="clear" w:color="auto" w:fill="auto"/>
            <w:vAlign w:val="center"/>
          </w:tcPr>
          <w:p>
            <w:r>
              <w:rPr>
                <w:rFonts w:hint="eastAsia"/>
              </w:rPr>
              <w:t>3320</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tc>
        <w:tc>
          <w:tcPr>
            <w:tcW w:w="1079" w:type="pct"/>
            <w:tcBorders>
              <w:top w:val="single" w:color="000000" w:sz="8" w:space="0"/>
              <w:left w:val="nil"/>
              <w:bottom w:val="single" w:color="000000" w:sz="8" w:space="0"/>
              <w:right w:val="single" w:color="000000" w:sz="8" w:space="0"/>
            </w:tcBorders>
            <w:shd w:val="clear" w:color="auto" w:fill="auto"/>
            <w:vAlign w:val="center"/>
          </w:tcPr>
          <w:p>
            <w:r>
              <w:t>种植</w:t>
            </w:r>
            <w:r>
              <w:rPr>
                <w:rFonts w:hint="eastAsia"/>
              </w:rPr>
              <w:t>爬山虎</w:t>
            </w:r>
          </w:p>
        </w:tc>
        <w:tc>
          <w:tcPr>
            <w:tcW w:w="342" w:type="pct"/>
            <w:tcBorders>
              <w:top w:val="nil"/>
              <w:left w:val="nil"/>
              <w:bottom w:val="single" w:color="000000" w:sz="8" w:space="0"/>
              <w:right w:val="single" w:color="000000" w:sz="8" w:space="0"/>
            </w:tcBorders>
            <w:shd w:val="clear" w:color="auto" w:fill="auto"/>
            <w:vAlign w:val="center"/>
          </w:tcPr>
          <w:p>
            <w:r>
              <w:t>株</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3243</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tc>
        <w:tc>
          <w:tcPr>
            <w:tcW w:w="908" w:type="pct"/>
            <w:gridSpan w:val="2"/>
            <w:tcBorders>
              <w:top w:val="nil"/>
              <w:left w:val="nil"/>
              <w:bottom w:val="single" w:color="000000" w:sz="8" w:space="0"/>
              <w:right w:val="single" w:color="auto" w:sz="4" w:space="0"/>
            </w:tcBorders>
            <w:shd w:val="clear" w:color="auto" w:fill="auto"/>
            <w:vAlign w:val="center"/>
          </w:tcPr>
          <w:p>
            <w:r>
              <w:rPr>
                <w:rFonts w:hint="eastAsia"/>
              </w:rPr>
              <w:t>3243</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-2</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狗牙根</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hm2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1.1952</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c>
          <w:tcPr>
            <w:tcW w:w="454" w:type="pct"/>
            <w:tcBorders>
              <w:top w:val="nil"/>
              <w:left w:val="nil"/>
              <w:bottom w:val="single" w:color="000000" w:sz="8"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三</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配套工程（排水管）</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m</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150</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150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四</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监测与管护工程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监测工程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　</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　</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　</w:t>
            </w:r>
          </w:p>
        </w:tc>
        <w:tc>
          <w:tcPr>
            <w:tcW w:w="454" w:type="pct"/>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-1</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复垦效果监测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个</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6</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2</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3</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　</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　</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点次</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36</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12</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6</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tc>
        <w:tc>
          <w:tcPr>
            <w:tcW w:w="454" w:type="pct"/>
            <w:tcBorders>
              <w:top w:val="nil"/>
              <w:left w:val="nil"/>
              <w:bottom w:val="single" w:color="000000" w:sz="8" w:space="0"/>
              <w:right w:val="single" w:color="auto" w:sz="4" w:space="0"/>
            </w:tcBorders>
            <w:shd w:val="clear" w:color="auto" w:fill="auto"/>
            <w:vAlign w:val="center"/>
          </w:tcPr>
          <w:p/>
        </w:tc>
        <w:tc>
          <w:tcPr>
            <w:tcW w:w="454" w:type="pct"/>
            <w:tcBorders>
              <w:top w:val="nil"/>
              <w:left w:val="nil"/>
              <w:bottom w:val="single" w:color="000000" w:sz="8" w:space="0"/>
              <w:right w:val="single" w:color="auto" w:sz="4" w:space="0"/>
            </w:tcBorders>
            <w:shd w:val="clear" w:color="auto" w:fill="auto"/>
            <w:vAlign w:val="center"/>
          </w:tcPr>
          <w:p>
            <w:r>
              <w:rPr>
                <w:rFonts w:hint="eastAsia"/>
              </w:rPr>
              <w:t>18</w:t>
            </w:r>
          </w:p>
        </w:tc>
      </w:tr>
      <w:tr>
        <w:tblPrEx>
          <w:tblCellMar>
            <w:top w:w="0" w:type="dxa"/>
            <w:left w:w="108" w:type="dxa"/>
            <w:bottom w:w="0" w:type="dxa"/>
            <w:right w:w="108" w:type="dxa"/>
          </w:tblCellMar>
        </w:tblPrEx>
        <w:trPr>
          <w:trHeight w:val="210" w:hRule="exact"/>
        </w:trPr>
        <w:tc>
          <w:tcPr>
            <w:tcW w:w="570" w:type="pct"/>
            <w:tcBorders>
              <w:top w:val="nil"/>
              <w:left w:val="single" w:color="000000" w:sz="8" w:space="0"/>
              <w:bottom w:val="single" w:color="000000" w:sz="8" w:space="0"/>
              <w:right w:val="single" w:color="000000" w:sz="8" w:space="0"/>
            </w:tcBorders>
            <w:shd w:val="clear" w:color="auto" w:fill="auto"/>
            <w:vAlign w:val="center"/>
          </w:tcPr>
          <w:p>
            <w:r>
              <w:rPr>
                <w:rFonts w:hint="eastAsia"/>
              </w:rPr>
              <w:t>2</w:t>
            </w:r>
          </w:p>
        </w:tc>
        <w:tc>
          <w:tcPr>
            <w:tcW w:w="1079" w:type="pct"/>
            <w:tcBorders>
              <w:top w:val="single" w:color="000000" w:sz="8" w:space="0"/>
              <w:left w:val="nil"/>
              <w:bottom w:val="single" w:color="000000" w:sz="8" w:space="0"/>
              <w:right w:val="single" w:color="000000" w:sz="8" w:space="0"/>
            </w:tcBorders>
            <w:shd w:val="clear" w:color="auto" w:fill="auto"/>
            <w:vAlign w:val="center"/>
          </w:tcPr>
          <w:p>
            <w:r>
              <w:rPr>
                <w:rFonts w:hint="eastAsia"/>
              </w:rPr>
              <w:t>管护工程</w:t>
            </w:r>
          </w:p>
        </w:tc>
        <w:tc>
          <w:tcPr>
            <w:tcW w:w="342" w:type="pct"/>
            <w:tcBorders>
              <w:top w:val="nil"/>
              <w:left w:val="nil"/>
              <w:bottom w:val="single" w:color="000000" w:sz="8" w:space="0"/>
              <w:right w:val="single" w:color="000000" w:sz="8" w:space="0"/>
            </w:tcBorders>
            <w:shd w:val="clear" w:color="auto" w:fill="auto"/>
            <w:vAlign w:val="center"/>
          </w:tcPr>
          <w:p>
            <w:r>
              <w:rPr>
                <w:rFonts w:hint="eastAsia"/>
              </w:rPr>
              <w:t>hm2</w:t>
            </w:r>
          </w:p>
        </w:tc>
        <w:tc>
          <w:tcPr>
            <w:tcW w:w="654"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9.672*3</w:t>
            </w:r>
          </w:p>
        </w:tc>
        <w:tc>
          <w:tcPr>
            <w:tcW w:w="529"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3.2821</w:t>
            </w:r>
          </w:p>
        </w:tc>
        <w:tc>
          <w:tcPr>
            <w:tcW w:w="368" w:type="pct"/>
            <w:tcBorders>
              <w:top w:val="nil"/>
              <w:left w:val="nil"/>
              <w:bottom w:val="single" w:color="000000" w:sz="8" w:space="0"/>
              <w:right w:val="single" w:color="000000" w:sz="8" w:space="0"/>
            </w:tcBorders>
            <w:shd w:val="clear" w:color="auto" w:fill="auto"/>
            <w:tcMar>
              <w:left w:w="28" w:type="dxa"/>
              <w:right w:w="28" w:type="dxa"/>
            </w:tcMar>
            <w:vAlign w:val="center"/>
          </w:tcPr>
          <w:p>
            <w:r>
              <w:rPr>
                <w:rFonts w:hint="eastAsia"/>
              </w:rPr>
              <w:t>1.8865</w:t>
            </w:r>
          </w:p>
        </w:tc>
        <w:tc>
          <w:tcPr>
            <w:tcW w:w="548" w:type="pct"/>
            <w:gridSpan w:val="2"/>
            <w:tcBorders>
              <w:top w:val="nil"/>
              <w:left w:val="nil"/>
              <w:bottom w:val="single" w:color="000000" w:sz="8" w:space="0"/>
              <w:right w:val="single" w:color="auto" w:sz="4" w:space="0"/>
            </w:tcBorders>
            <w:shd w:val="clear" w:color="auto" w:fill="auto"/>
            <w:tcMar>
              <w:left w:w="28" w:type="dxa"/>
              <w:right w:w="28" w:type="dxa"/>
            </w:tcMar>
            <w:vAlign w:val="center"/>
          </w:tcPr>
          <w:p>
            <w:r>
              <w:rPr>
                <w:rFonts w:hint="eastAsia"/>
              </w:rPr>
              <w:t>0.0419</w:t>
            </w:r>
          </w:p>
        </w:tc>
        <w:tc>
          <w:tcPr>
            <w:tcW w:w="454" w:type="pct"/>
            <w:tcBorders>
              <w:top w:val="nil"/>
              <w:left w:val="single" w:color="auto" w:sz="4" w:space="0"/>
              <w:bottom w:val="single" w:color="000000" w:sz="8" w:space="0"/>
              <w:right w:val="single" w:color="auto" w:sz="4" w:space="0"/>
            </w:tcBorders>
            <w:shd w:val="clear" w:color="auto" w:fill="auto"/>
            <w:vAlign w:val="center"/>
          </w:tcPr>
          <w:p>
            <w:r>
              <w:rPr>
                <w:rFonts w:hint="eastAsia"/>
              </w:rPr>
              <w:t>0.0278</w:t>
            </w:r>
          </w:p>
        </w:tc>
        <w:tc>
          <w:tcPr>
            <w:tcW w:w="454" w:type="pct"/>
            <w:tcBorders>
              <w:top w:val="nil"/>
              <w:left w:val="nil"/>
              <w:bottom w:val="single" w:color="000000" w:sz="8" w:space="0"/>
              <w:right w:val="single" w:color="auto" w:sz="4" w:space="0"/>
            </w:tcBorders>
            <w:shd w:val="clear" w:color="auto" w:fill="auto"/>
            <w:vAlign w:val="center"/>
          </w:tcPr>
          <w:p>
            <w:r>
              <w:rPr>
                <w:rFonts w:hint="eastAsia"/>
              </w:rPr>
              <w:t>3.8912</w:t>
            </w:r>
          </w:p>
        </w:tc>
      </w:tr>
    </w:tbl>
    <w:p>
      <w:r>
        <w:rPr>
          <w:rFonts w:hint="eastAsia"/>
        </w:rPr>
        <w:t xml:space="preserve"> 4、复垦投资情况</w:t>
      </w:r>
    </w:p>
    <w:p>
      <w:r>
        <w:t>本项目</w:t>
      </w:r>
      <w:r>
        <w:rPr>
          <w:rFonts w:hint="eastAsia"/>
        </w:rPr>
        <w:t>土地复垦总面积9.1295hm2，复垦为旱地、乔木林地，通过预算，</w:t>
      </w:r>
      <w:r>
        <w:t>工程静态总投资为</w:t>
      </w:r>
      <w:r>
        <w:rPr>
          <w:rFonts w:hint="eastAsia"/>
        </w:rPr>
        <w:t>65.2909万</w:t>
      </w:r>
      <w:r>
        <w:t>元，亩均</w:t>
      </w:r>
      <w:r>
        <w:rPr>
          <w:rFonts w:hint="eastAsia"/>
        </w:rPr>
        <w:t>静态</w:t>
      </w:r>
      <w:r>
        <w:t>投资</w:t>
      </w:r>
      <w:r>
        <w:rPr>
          <w:rFonts w:hint="eastAsia"/>
        </w:rPr>
        <w:t>4767.9元</w:t>
      </w:r>
      <w:r>
        <w:t>。</w:t>
      </w:r>
      <w:r>
        <w:rPr>
          <w:rFonts w:hint="eastAsia"/>
        </w:rPr>
        <w:t>动</w:t>
      </w:r>
      <w:r>
        <w:t>态总投资为</w:t>
      </w:r>
      <w:r>
        <w:rPr>
          <w:rFonts w:hint="eastAsia"/>
        </w:rPr>
        <w:t>80.5393万</w:t>
      </w:r>
      <w:r>
        <w:t>元，其中</w:t>
      </w:r>
      <w:r>
        <w:rPr>
          <w:rFonts w:hint="eastAsia"/>
        </w:rPr>
        <w:t>价差预备</w:t>
      </w:r>
      <w:r>
        <w:t>费</w:t>
      </w:r>
      <w:r>
        <w:rPr>
          <w:rFonts w:hint="eastAsia"/>
        </w:rPr>
        <w:t>15.2484万</w:t>
      </w:r>
      <w:r>
        <w:t>元</w:t>
      </w:r>
      <w:r>
        <w:rPr>
          <w:rFonts w:hint="eastAsia"/>
        </w:rPr>
        <w:t>；</w:t>
      </w:r>
      <w:r>
        <w:t>亩均</w:t>
      </w:r>
      <w:r>
        <w:rPr>
          <w:rFonts w:hint="eastAsia"/>
        </w:rPr>
        <w:t>动态</w:t>
      </w:r>
      <w:r>
        <w:t>投资</w:t>
      </w:r>
      <w:r>
        <w:rPr>
          <w:rFonts w:hint="eastAsia"/>
        </w:rPr>
        <w:t>5881.4</w:t>
      </w:r>
      <w:r>
        <w:t>元。</w:t>
      </w:r>
    </w:p>
    <w:p>
      <w:r>
        <w:rPr>
          <w:rFonts w:hint="eastAsia"/>
        </w:rPr>
        <w:t>表0-5  矿山地质环境保护与土地复垦方案报告表</w:t>
      </w:r>
    </w:p>
    <w:tbl>
      <w:tblPr>
        <w:tblStyle w:val="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79"/>
        <w:gridCol w:w="720"/>
        <w:gridCol w:w="1039"/>
        <w:gridCol w:w="23"/>
        <w:gridCol w:w="136"/>
        <w:gridCol w:w="126"/>
        <w:gridCol w:w="101"/>
        <w:gridCol w:w="900"/>
        <w:gridCol w:w="1289"/>
        <w:gridCol w:w="33"/>
        <w:gridCol w:w="17"/>
        <w:gridCol w:w="282"/>
        <w:gridCol w:w="469"/>
        <w:gridCol w:w="39"/>
        <w:gridCol w:w="561"/>
        <w:gridCol w:w="279"/>
        <w:gridCol w:w="191"/>
        <w:gridCol w:w="134"/>
        <w:gridCol w:w="143"/>
        <w:gridCol w:w="622"/>
        <w:gridCol w:w="846"/>
        <w:gridCol w:w="40"/>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restart"/>
            <w:vAlign w:val="center"/>
          </w:tcPr>
          <w:p>
            <w:r>
              <w:rPr>
                <w:rFonts w:hint="eastAsia"/>
              </w:rPr>
              <w:t>矿</w:t>
            </w:r>
          </w:p>
          <w:p>
            <w:r>
              <w:rPr>
                <w:rFonts w:hint="eastAsia"/>
              </w:rPr>
              <w:t>山</w:t>
            </w:r>
          </w:p>
          <w:p>
            <w:r>
              <w:rPr>
                <w:rFonts w:hint="eastAsia"/>
              </w:rPr>
              <w:t>山    企</w:t>
            </w:r>
          </w:p>
          <w:p>
            <w:r>
              <w:rPr>
                <w:rFonts w:hint="eastAsia"/>
              </w:rPr>
              <w:t>业</w:t>
            </w:r>
          </w:p>
          <w:p>
            <w:r>
              <w:rPr>
                <w:rFonts w:hint="eastAsia"/>
              </w:rPr>
              <w:t>概</w:t>
            </w:r>
          </w:p>
          <w:p>
            <w:r>
              <w:rPr>
                <w:rFonts w:hint="eastAsia"/>
              </w:rPr>
              <w:t>况</w:t>
            </w:r>
          </w:p>
        </w:tc>
        <w:tc>
          <w:tcPr>
            <w:tcW w:w="2044" w:type="dxa"/>
            <w:gridSpan w:val="5"/>
            <w:vAlign w:val="center"/>
          </w:tcPr>
          <w:p>
            <w:r>
              <w:rPr>
                <w:rFonts w:hint="eastAsia"/>
              </w:rPr>
              <w:t>矿山名称</w:t>
            </w:r>
          </w:p>
        </w:tc>
        <w:tc>
          <w:tcPr>
            <w:tcW w:w="5906" w:type="dxa"/>
            <w:gridSpan w:val="15"/>
            <w:vAlign w:val="center"/>
          </w:tcPr>
          <w:p>
            <w:r>
              <w:rPr>
                <w:rFonts w:hint="eastAsia"/>
              </w:rPr>
              <w:t>曲靖市麒麟区三宝街道白砂坡采砂场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tc>
        <w:tc>
          <w:tcPr>
            <w:tcW w:w="2044" w:type="dxa"/>
            <w:gridSpan w:val="5"/>
            <w:vAlign w:val="center"/>
          </w:tcPr>
          <w:p>
            <w:r>
              <w:rPr>
                <w:rFonts w:hint="eastAsia"/>
              </w:rPr>
              <w:t>矿山企业名称</w:t>
            </w:r>
          </w:p>
        </w:tc>
        <w:tc>
          <w:tcPr>
            <w:tcW w:w="5906" w:type="dxa"/>
            <w:gridSpan w:val="15"/>
            <w:vAlign w:val="center"/>
          </w:tcPr>
          <w:p>
            <w:r>
              <w:rPr>
                <w:rFonts w:hint="eastAsia"/>
              </w:rPr>
              <w:t>曲靖恒汇商贸有限公司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tc>
        <w:tc>
          <w:tcPr>
            <w:tcW w:w="2044" w:type="dxa"/>
            <w:gridSpan w:val="5"/>
            <w:vAlign w:val="center"/>
          </w:tcPr>
          <w:p>
            <w:r>
              <w:rPr>
                <w:rFonts w:hint="eastAsia"/>
              </w:rPr>
              <w:t>矿山类型</w:t>
            </w:r>
          </w:p>
        </w:tc>
        <w:tc>
          <w:tcPr>
            <w:tcW w:w="5906" w:type="dxa"/>
            <w:gridSpan w:val="15"/>
            <w:vAlign w:val="center"/>
          </w:tcPr>
          <w:p>
            <w:r>
              <mc:AlternateContent>
                <mc:Choice Requires="wps">
                  <w:drawing>
                    <wp:anchor distT="0" distB="0" distL="114300" distR="114300" simplePos="0" relativeHeight="251659264" behindDoc="0" locked="0" layoutInCell="1" allowOverlap="1">
                      <wp:simplePos x="0" y="0"/>
                      <wp:positionH relativeFrom="column">
                        <wp:posOffset>871220</wp:posOffset>
                      </wp:positionH>
                      <wp:positionV relativeFrom="paragraph">
                        <wp:posOffset>137160</wp:posOffset>
                      </wp:positionV>
                      <wp:extent cx="157480" cy="121920"/>
                      <wp:effectExtent l="11430" t="8890" r="12065" b="12065"/>
                      <wp:wrapNone/>
                      <wp:docPr id="1368022907" name="矩形 2"/>
                      <wp:cNvGraphicFramePr/>
                      <a:graphic xmlns:a="http://schemas.openxmlformats.org/drawingml/2006/main">
                        <a:graphicData uri="http://schemas.microsoft.com/office/word/2010/wordprocessingShape">
                          <wps:wsp>
                            <wps:cNvSpPr>
                              <a:spLocks noChangeArrowheads="1"/>
                            </wps:cNvSpPr>
                            <wps:spPr bwMode="auto">
                              <a:xfrm>
                                <a:off x="0" y="0"/>
                                <a:ext cx="157480" cy="121920"/>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68.6pt;margin-top:10.8pt;height:9.6pt;width:12.4pt;z-index:251659264;mso-width-relative:page;mso-height-relative:page;" fillcolor="#FFFFFF" filled="t" stroked="t" coordsize="21600,21600" o:gfxdata="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Cyim1QAAAAkBAAAPAAAAAAAAAAEAIAAAACIAAABkcnMvZG93&#10;bnJldi54bWxQSwECFAAUAAAACACHTuJABUW2nTwCAAB3BAAADgAAAAAAAAABACAAAAAkAQAAZHJz&#10;L2Uyb0RvYy54bWxQSwUGAAAAAAYABgBZAQAA0gUAAAAA&#10;">
                      <v:fill on="t" focussize="0,0"/>
                      <v:stroke weight="0.25pt" color="#000000"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1384935</wp:posOffset>
                      </wp:positionH>
                      <wp:positionV relativeFrom="paragraph">
                        <wp:posOffset>137160</wp:posOffset>
                      </wp:positionV>
                      <wp:extent cx="157480" cy="121920"/>
                      <wp:effectExtent l="10795" t="8890" r="12700" b="12065"/>
                      <wp:wrapNone/>
                      <wp:docPr id="656968588" name="矩形 1"/>
                      <wp:cNvGraphicFramePr/>
                      <a:graphic xmlns:a="http://schemas.openxmlformats.org/drawingml/2006/main">
                        <a:graphicData uri="http://schemas.microsoft.com/office/word/2010/wordprocessingShape">
                          <wps:wsp>
                            <wps:cNvSpPr>
                              <a:spLocks noChangeArrowheads="1"/>
                            </wps:cNvSpPr>
                            <wps:spPr bwMode="auto">
                              <a:xfrm>
                                <a:off x="0" y="0"/>
                                <a:ext cx="157480" cy="121920"/>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109.05pt;margin-top:10.8pt;height:9.6pt;width:12.4pt;z-index:251660288;mso-width-relative:page;mso-height-relative:page;" fillcolor="#FFFFFF" filled="t" stroked="t" coordsize="21600,21600" o:gfxdata="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63DnLWAAAACQEAAA8AAAAAAAAAAQAgAAAAIgAAAGRycy9kb3du&#10;cmV2LnhtbFBLAQIUABQAAAAIAIdO4kBDfsu9OgIAAHYEAAAOAAAAAAAAAAEAIAAAACUBAABkcnMv&#10;ZTJvRG9jLnhtbFBLBQYAAAAABgAGAFkBAADRBQAAAAA=&#10;">
                      <v:fill on="t" focussize="0,0"/>
                      <v:stroke weight="0.25pt" color="#000000" miterlimit="8" joinstyle="miter"/>
                      <v:imagedata o:title=""/>
                      <o:lock v:ext="edit" aspectratio="f"/>
                    </v:rect>
                  </w:pict>
                </mc:Fallback>
              </mc:AlternateContent>
            </w:r>
            <w:r>
              <w:t>√</w:t>
            </w:r>
            <w:r>
              <w:rPr>
                <w:rFonts w:hint="eastAsia"/>
              </w:rPr>
              <w:t>申  请    持有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tc>
        <w:tc>
          <w:tcPr>
            <w:tcW w:w="2044" w:type="dxa"/>
            <w:gridSpan w:val="5"/>
            <w:vAlign w:val="center"/>
          </w:tcPr>
          <w:p>
            <w:r>
              <w:rPr>
                <w:rFonts w:hint="eastAsia"/>
              </w:rPr>
              <w:t>法人代表（联系人）</w:t>
            </w:r>
          </w:p>
        </w:tc>
        <w:tc>
          <w:tcPr>
            <w:tcW w:w="2622" w:type="dxa"/>
            <w:gridSpan w:val="6"/>
            <w:vAlign w:val="center"/>
          </w:tcPr>
          <w:p>
            <w:r>
              <w:rPr>
                <w:rFonts w:hint="eastAsia"/>
              </w:rPr>
              <w:t>刘宏坤</w:t>
            </w:r>
          </w:p>
        </w:tc>
        <w:tc>
          <w:tcPr>
            <w:tcW w:w="1539" w:type="dxa"/>
            <w:gridSpan w:val="5"/>
            <w:vAlign w:val="center"/>
          </w:tcPr>
          <w:p>
            <w:r>
              <w:rPr>
                <w:rFonts w:hint="eastAsia"/>
              </w:rPr>
              <w:t>联系电话</w:t>
            </w:r>
          </w:p>
        </w:tc>
        <w:tc>
          <w:tcPr>
            <w:tcW w:w="1745" w:type="dxa"/>
            <w:gridSpan w:val="4"/>
            <w:vAlign w:val="center"/>
          </w:tcPr>
          <w:p>
            <w:r>
              <w:rPr>
                <w:rFonts w:hint="eastAsia"/>
              </w:rPr>
              <w:t xml:space="preserve">13769811677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tc>
        <w:tc>
          <w:tcPr>
            <w:tcW w:w="2044" w:type="dxa"/>
            <w:gridSpan w:val="5"/>
            <w:vAlign w:val="center"/>
          </w:tcPr>
          <w:p>
            <w:r>
              <w:rPr>
                <w:rFonts w:hint="eastAsia"/>
              </w:rPr>
              <w:t>企业性质</w:t>
            </w:r>
          </w:p>
        </w:tc>
        <w:tc>
          <w:tcPr>
            <w:tcW w:w="2622" w:type="dxa"/>
            <w:gridSpan w:val="6"/>
            <w:vAlign w:val="center"/>
          </w:tcPr>
          <w:p>
            <w:r>
              <w:rPr>
                <w:rFonts w:hint="eastAsia"/>
              </w:rPr>
              <w:t>有限公司</w:t>
            </w:r>
          </w:p>
        </w:tc>
        <w:tc>
          <w:tcPr>
            <w:tcW w:w="1539" w:type="dxa"/>
            <w:gridSpan w:val="5"/>
            <w:vAlign w:val="center"/>
          </w:tcPr>
          <w:p>
            <w:r>
              <w:rPr>
                <w:rFonts w:hint="eastAsia"/>
              </w:rPr>
              <w:t>项目性质</w:t>
            </w:r>
          </w:p>
        </w:tc>
        <w:tc>
          <w:tcPr>
            <w:tcW w:w="1745" w:type="dxa"/>
            <w:gridSpan w:val="4"/>
            <w:vAlign w:val="center"/>
          </w:tcPr>
          <w:p>
            <w:r>
              <w:rPr>
                <w:rFonts w:hint="eastAsia"/>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73" w:hRule="exact"/>
          <w:jc w:val="center"/>
        </w:trPr>
        <w:tc>
          <w:tcPr>
            <w:tcW w:w="793" w:type="dxa"/>
            <w:gridSpan w:val="2"/>
            <w:vMerge w:val="continue"/>
            <w:vAlign w:val="center"/>
          </w:tcPr>
          <w:p/>
        </w:tc>
        <w:tc>
          <w:tcPr>
            <w:tcW w:w="2044" w:type="dxa"/>
            <w:gridSpan w:val="5"/>
            <w:vAlign w:val="center"/>
          </w:tcPr>
          <w:p>
            <w:r>
              <w:rPr>
                <w:rFonts w:hint="eastAsia"/>
              </w:rPr>
              <w:t>矿区面积</w:t>
            </w:r>
          </w:p>
          <w:p>
            <w:r>
              <w:rPr>
                <w:rFonts w:hint="eastAsia"/>
              </w:rPr>
              <w:t>及开采标高</w:t>
            </w:r>
          </w:p>
        </w:tc>
        <w:tc>
          <w:tcPr>
            <w:tcW w:w="5906" w:type="dxa"/>
            <w:gridSpan w:val="15"/>
            <w:vAlign w:val="center"/>
          </w:tcPr>
          <w:p>
            <w:r>
              <w:rPr>
                <w:rFonts w:hint="eastAsia"/>
              </w:rPr>
              <w:t>矿区面积</w:t>
            </w:r>
            <w:r>
              <w:t>0.0727km</w:t>
            </w:r>
            <w:r>
              <w:rPr>
                <w:rFonts w:hint="eastAsia"/>
              </w:rPr>
              <w:t>2，开采标高1960～1880m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633" w:hRule="exact"/>
          <w:jc w:val="center"/>
        </w:trPr>
        <w:tc>
          <w:tcPr>
            <w:tcW w:w="793" w:type="dxa"/>
            <w:gridSpan w:val="2"/>
            <w:vMerge w:val="continue"/>
            <w:vAlign w:val="center"/>
          </w:tcPr>
          <w:p/>
        </w:tc>
        <w:tc>
          <w:tcPr>
            <w:tcW w:w="2044" w:type="dxa"/>
            <w:gridSpan w:val="5"/>
            <w:vAlign w:val="center"/>
          </w:tcPr>
          <w:p>
            <w:r>
              <w:rPr>
                <w:rFonts w:hint="eastAsia"/>
              </w:rPr>
              <w:t>资源储量</w:t>
            </w:r>
          </w:p>
        </w:tc>
        <w:tc>
          <w:tcPr>
            <w:tcW w:w="2622" w:type="dxa"/>
            <w:gridSpan w:val="6"/>
            <w:vAlign w:val="center"/>
          </w:tcPr>
          <w:p>
            <w:r>
              <w:rPr>
                <w:rFonts w:hint="eastAsia"/>
              </w:rPr>
              <w:t>806.08万t</w:t>
            </w:r>
          </w:p>
        </w:tc>
        <w:tc>
          <w:tcPr>
            <w:tcW w:w="1539" w:type="dxa"/>
            <w:gridSpan w:val="5"/>
            <w:vAlign w:val="center"/>
          </w:tcPr>
          <w:p>
            <w:r>
              <w:rPr>
                <w:rFonts w:hint="eastAsia"/>
              </w:rPr>
              <w:t>生产能力</w:t>
            </w:r>
          </w:p>
        </w:tc>
        <w:tc>
          <w:tcPr>
            <w:tcW w:w="1745" w:type="dxa"/>
            <w:gridSpan w:val="4"/>
            <w:vAlign w:val="center"/>
          </w:tcPr>
          <w:p>
            <w:r>
              <w:rPr>
                <w:rFonts w:hint="eastAsia"/>
              </w:rPr>
              <w:t>60万t/a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601" w:hRule="exact"/>
          <w:jc w:val="center"/>
        </w:trPr>
        <w:tc>
          <w:tcPr>
            <w:tcW w:w="793" w:type="dxa"/>
            <w:gridSpan w:val="2"/>
            <w:vMerge w:val="continue"/>
            <w:vAlign w:val="center"/>
          </w:tcPr>
          <w:p/>
        </w:tc>
        <w:tc>
          <w:tcPr>
            <w:tcW w:w="2044" w:type="dxa"/>
            <w:gridSpan w:val="5"/>
            <w:vAlign w:val="center"/>
          </w:tcPr>
          <w:p>
            <w:r>
              <w:rPr>
                <w:rFonts w:hint="eastAsia"/>
              </w:rPr>
              <w:t>采矿证号</w:t>
            </w:r>
          </w:p>
          <w:p>
            <w:r>
              <w:rPr>
                <w:rFonts w:hint="eastAsia"/>
              </w:rPr>
              <w:t>（划定矿区范围）</w:t>
            </w:r>
          </w:p>
        </w:tc>
        <w:tc>
          <w:tcPr>
            <w:tcW w:w="2622" w:type="dxa"/>
            <w:gridSpan w:val="6"/>
            <w:tcMar>
              <w:left w:w="28" w:type="dxa"/>
              <w:right w:w="28" w:type="dxa"/>
            </w:tcMar>
            <w:vAlign w:val="center"/>
          </w:tcPr>
          <w:p/>
        </w:tc>
        <w:tc>
          <w:tcPr>
            <w:tcW w:w="1539" w:type="dxa"/>
            <w:gridSpan w:val="5"/>
            <w:vAlign w:val="center"/>
          </w:tcPr>
          <w:p>
            <w:r>
              <w:rPr>
                <w:rFonts w:hint="eastAsia"/>
              </w:rPr>
              <w:t>评估区面积</w:t>
            </w:r>
          </w:p>
        </w:tc>
        <w:tc>
          <w:tcPr>
            <w:tcW w:w="1745" w:type="dxa"/>
            <w:gridSpan w:val="4"/>
            <w:vAlign w:val="center"/>
          </w:tcPr>
          <w:p>
            <w:r>
              <w:rPr>
                <w:rFonts w:hint="eastAsia"/>
              </w:rPr>
              <w:t>58.6155hm</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73" w:hRule="exact"/>
          <w:jc w:val="center"/>
        </w:trPr>
        <w:tc>
          <w:tcPr>
            <w:tcW w:w="793" w:type="dxa"/>
            <w:gridSpan w:val="2"/>
            <w:vMerge w:val="continue"/>
            <w:vAlign w:val="center"/>
          </w:tcPr>
          <w:p/>
        </w:tc>
        <w:tc>
          <w:tcPr>
            <w:tcW w:w="2044" w:type="dxa"/>
            <w:gridSpan w:val="5"/>
            <w:vAlign w:val="center"/>
          </w:tcPr>
          <w:p>
            <w:r>
              <w:rPr>
                <w:rFonts w:hint="eastAsia"/>
              </w:rPr>
              <w:t>项目位置土地利用现状图幅号</w:t>
            </w:r>
          </w:p>
        </w:tc>
        <w:tc>
          <w:tcPr>
            <w:tcW w:w="5906" w:type="dxa"/>
            <w:gridSpan w:val="15"/>
            <w:vAlign w:val="center"/>
          </w:tcPr>
          <w:p>
            <w:r>
              <w:rPr>
                <w:rFonts w:hint="eastAsia"/>
              </w:rPr>
              <w:t>大马房幅 G48G064030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685" w:hRule="exact"/>
          <w:jc w:val="center"/>
        </w:trPr>
        <w:tc>
          <w:tcPr>
            <w:tcW w:w="793" w:type="dxa"/>
            <w:gridSpan w:val="2"/>
            <w:vMerge w:val="continue"/>
            <w:vAlign w:val="center"/>
          </w:tcPr>
          <w:p/>
        </w:tc>
        <w:tc>
          <w:tcPr>
            <w:tcW w:w="2044" w:type="dxa"/>
            <w:gridSpan w:val="5"/>
            <w:vAlign w:val="center"/>
          </w:tcPr>
          <w:p>
            <w:r>
              <w:rPr>
                <w:rFonts w:hint="eastAsia"/>
              </w:rPr>
              <w:t>矿山生产服务年限</w:t>
            </w:r>
          </w:p>
        </w:tc>
        <w:tc>
          <w:tcPr>
            <w:tcW w:w="2340" w:type="dxa"/>
            <w:gridSpan w:val="5"/>
            <w:vAlign w:val="center"/>
          </w:tcPr>
          <w:p>
            <w:r>
              <w:rPr>
                <w:rFonts w:hint="eastAsia"/>
              </w:rPr>
              <w:t>12a</w:t>
            </w:r>
          </w:p>
        </w:tc>
        <w:tc>
          <w:tcPr>
            <w:tcW w:w="1821" w:type="dxa"/>
            <w:gridSpan w:val="6"/>
            <w:vAlign w:val="center"/>
          </w:tcPr>
          <w:p>
            <w:r>
              <w:rPr>
                <w:rFonts w:hint="eastAsia"/>
              </w:rPr>
              <w:t>方案适用年限</w:t>
            </w:r>
          </w:p>
        </w:tc>
        <w:tc>
          <w:tcPr>
            <w:tcW w:w="1745" w:type="dxa"/>
            <w:gridSpan w:val="4"/>
            <w:vAlign w:val="center"/>
          </w:tcPr>
          <w:p>
            <w:r>
              <w:rPr>
                <w:rFonts w:hint="eastAsia"/>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restart"/>
            <w:vAlign w:val="center"/>
          </w:tcPr>
          <w:p>
            <w:r>
              <w:rPr>
                <w:rFonts w:hint="eastAsia"/>
              </w:rPr>
              <w:t>方</w:t>
            </w:r>
          </w:p>
          <w:p>
            <w:r>
              <w:rPr>
                <w:rFonts w:hint="eastAsia"/>
              </w:rPr>
              <w:t>案</w:t>
            </w:r>
          </w:p>
          <w:p>
            <w:r>
              <w:rPr>
                <w:rFonts w:hint="eastAsia"/>
              </w:rPr>
              <w:t>编</w:t>
            </w:r>
          </w:p>
          <w:p>
            <w:r>
              <w:rPr>
                <w:rFonts w:hint="eastAsia"/>
              </w:rPr>
              <w:t>制</w:t>
            </w:r>
          </w:p>
          <w:p>
            <w:r>
              <w:rPr>
                <w:rFonts w:hint="eastAsia"/>
              </w:rPr>
              <w:t>单</w:t>
            </w:r>
          </w:p>
          <w:p>
            <w:r>
              <w:rPr>
                <w:rFonts w:hint="eastAsia"/>
              </w:rPr>
              <w:t>位</w:t>
            </w:r>
          </w:p>
        </w:tc>
        <w:tc>
          <w:tcPr>
            <w:tcW w:w="2044" w:type="dxa"/>
            <w:gridSpan w:val="5"/>
            <w:vAlign w:val="center"/>
          </w:tcPr>
          <w:p>
            <w:r>
              <w:rPr>
                <w:rFonts w:hint="eastAsia"/>
              </w:rPr>
              <w:t>编制单位名称</w:t>
            </w:r>
          </w:p>
        </w:tc>
        <w:tc>
          <w:tcPr>
            <w:tcW w:w="5906" w:type="dxa"/>
            <w:gridSpan w:val="15"/>
            <w:vAlign w:val="center"/>
          </w:tcPr>
          <w:p>
            <w:r>
              <w:rPr>
                <w:rFonts w:hint="eastAsia"/>
              </w:rPr>
              <w:t>曲靖市加能比地质工程勘察有限公司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044" w:type="dxa"/>
            <w:gridSpan w:val="5"/>
            <w:vAlign w:val="center"/>
          </w:tcPr>
          <w:p>
            <w:r>
              <w:rPr>
                <w:rFonts w:hint="eastAsia"/>
              </w:rPr>
              <w:t>法人代表</w:t>
            </w:r>
          </w:p>
        </w:tc>
        <w:tc>
          <w:tcPr>
            <w:tcW w:w="5906" w:type="dxa"/>
            <w:gridSpan w:val="15"/>
            <w:vAlign w:val="center"/>
          </w:tcPr>
          <w:p>
            <w:r>
              <w:rPr>
                <w:rFonts w:hint="eastAsia"/>
              </w:rPr>
              <w:t>陶琼芬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044" w:type="dxa"/>
            <w:gridSpan w:val="5"/>
            <w:vAlign w:val="center"/>
          </w:tcPr>
          <w:p>
            <w:r>
              <w:rPr>
                <w:rFonts w:hint="eastAsia"/>
              </w:rPr>
              <w:t>联系人</w:t>
            </w:r>
          </w:p>
        </w:tc>
        <w:tc>
          <w:tcPr>
            <w:tcW w:w="2340" w:type="dxa"/>
            <w:gridSpan w:val="5"/>
            <w:vAlign w:val="center"/>
          </w:tcPr>
          <w:p>
            <w:r>
              <w:rPr>
                <w:rFonts w:hint="eastAsia"/>
              </w:rPr>
              <w:t>孟庆校</w:t>
            </w:r>
          </w:p>
        </w:tc>
        <w:tc>
          <w:tcPr>
            <w:tcW w:w="1955" w:type="dxa"/>
            <w:gridSpan w:val="7"/>
            <w:vAlign w:val="center"/>
          </w:tcPr>
          <w:p>
            <w:r>
              <w:rPr>
                <w:rFonts w:hint="eastAsia"/>
              </w:rPr>
              <w:t>电话</w:t>
            </w:r>
          </w:p>
        </w:tc>
        <w:tc>
          <w:tcPr>
            <w:tcW w:w="1611" w:type="dxa"/>
            <w:gridSpan w:val="3"/>
            <w:vAlign w:val="center"/>
          </w:tcPr>
          <w:p>
            <w:r>
              <w:rPr>
                <w:rFonts w:hint="eastAsia"/>
              </w:rPr>
              <w:t xml:space="preserve">15924883518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7950" w:type="dxa"/>
            <w:gridSpan w:val="20"/>
            <w:vAlign w:val="center"/>
          </w:tcPr>
          <w:p>
            <w:r>
              <w:rPr>
                <w:rFonts w:hint="eastAsia"/>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r>
              <w:rPr>
                <w:rFonts w:hint="eastAsia"/>
              </w:rPr>
              <w:t>姓名</w:t>
            </w:r>
          </w:p>
        </w:tc>
        <w:tc>
          <w:tcPr>
            <w:tcW w:w="2239" w:type="dxa"/>
            <w:gridSpan w:val="4"/>
            <w:vAlign w:val="center"/>
          </w:tcPr>
          <w:p>
            <w:r>
              <w:rPr>
                <w:rFonts w:hint="eastAsia"/>
              </w:rPr>
              <w:t>职务</w:t>
            </w:r>
          </w:p>
        </w:tc>
        <w:tc>
          <w:tcPr>
            <w:tcW w:w="2098" w:type="dxa"/>
            <w:gridSpan w:val="8"/>
            <w:vAlign w:val="center"/>
          </w:tcPr>
          <w:p>
            <w:r>
              <w:rPr>
                <w:rFonts w:hint="eastAsia"/>
              </w:rPr>
              <w:t>职称</w:t>
            </w:r>
          </w:p>
        </w:tc>
        <w:tc>
          <w:tcPr>
            <w:tcW w:w="1468" w:type="dxa"/>
            <w:gridSpan w:val="2"/>
            <w:vAlign w:val="center"/>
          </w:tcPr>
          <w:p>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r>
              <w:rPr>
                <w:rFonts w:hint="eastAsia"/>
              </w:rPr>
              <w:t>孟庆校</w:t>
            </w:r>
          </w:p>
        </w:tc>
        <w:tc>
          <w:tcPr>
            <w:tcW w:w="2239" w:type="dxa"/>
            <w:gridSpan w:val="4"/>
            <w:vAlign w:val="center"/>
          </w:tcPr>
          <w:p>
            <w:r>
              <w:rPr>
                <w:rFonts w:hint="eastAsia"/>
              </w:rPr>
              <w:t>审核</w:t>
            </w:r>
          </w:p>
        </w:tc>
        <w:tc>
          <w:tcPr>
            <w:tcW w:w="2098" w:type="dxa"/>
            <w:gridSpan w:val="8"/>
            <w:vAlign w:val="center"/>
          </w:tcPr>
          <w:p>
            <w:r>
              <w:rPr>
                <w:rFonts w:hint="eastAsia"/>
              </w:rPr>
              <w:t>工程师</w:t>
            </w: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r>
              <w:rPr>
                <w:rFonts w:hint="eastAsia"/>
              </w:rPr>
              <w:t>龚成达</w:t>
            </w:r>
          </w:p>
        </w:tc>
        <w:tc>
          <w:tcPr>
            <w:tcW w:w="2239" w:type="dxa"/>
            <w:gridSpan w:val="4"/>
            <w:vAlign w:val="center"/>
          </w:tcPr>
          <w:p>
            <w:r>
              <w:rPr>
                <w:rFonts w:hint="eastAsia"/>
              </w:rPr>
              <w:t>拟编、制图</w:t>
            </w:r>
          </w:p>
        </w:tc>
        <w:tc>
          <w:tcPr>
            <w:tcW w:w="2098" w:type="dxa"/>
            <w:gridSpan w:val="8"/>
            <w:vAlign w:val="center"/>
          </w:tcPr>
          <w:p>
            <w:r>
              <w:rPr>
                <w:rFonts w:hint="eastAsia"/>
              </w:rPr>
              <w:t>工程师</w:t>
            </w: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r>
              <w:rPr>
                <w:rFonts w:hint="eastAsia"/>
              </w:rPr>
              <w:t xml:space="preserve">张 </w:t>
            </w:r>
            <w:r>
              <w:t xml:space="preserve"> </w:t>
            </w:r>
            <w:r>
              <w:rPr>
                <w:rFonts w:hint="eastAsia"/>
              </w:rPr>
              <w:t>享</w:t>
            </w:r>
          </w:p>
        </w:tc>
        <w:tc>
          <w:tcPr>
            <w:tcW w:w="2239" w:type="dxa"/>
            <w:gridSpan w:val="4"/>
            <w:vAlign w:val="center"/>
          </w:tcPr>
          <w:p>
            <w:r>
              <w:rPr>
                <w:rFonts w:hint="eastAsia"/>
              </w:rPr>
              <w:t>拟编、制图</w:t>
            </w:r>
          </w:p>
        </w:tc>
        <w:tc>
          <w:tcPr>
            <w:tcW w:w="2098" w:type="dxa"/>
            <w:gridSpan w:val="8"/>
            <w:vAlign w:val="center"/>
          </w:tcPr>
          <w:p>
            <w:r>
              <w:rPr>
                <w:rFonts w:hint="eastAsia"/>
              </w:rPr>
              <w:t>工程师</w:t>
            </w: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tc>
        <w:tc>
          <w:tcPr>
            <w:tcW w:w="2239" w:type="dxa"/>
            <w:gridSpan w:val="4"/>
            <w:vAlign w:val="center"/>
          </w:tcPr>
          <w:p/>
        </w:tc>
        <w:tc>
          <w:tcPr>
            <w:tcW w:w="2098" w:type="dxa"/>
            <w:gridSpan w:val="8"/>
            <w:vAlign w:val="center"/>
          </w:tcP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tc>
        <w:tc>
          <w:tcPr>
            <w:tcW w:w="2239" w:type="dxa"/>
            <w:gridSpan w:val="4"/>
            <w:vAlign w:val="center"/>
          </w:tcPr>
          <w:p/>
        </w:tc>
        <w:tc>
          <w:tcPr>
            <w:tcW w:w="2098" w:type="dxa"/>
            <w:gridSpan w:val="8"/>
            <w:vAlign w:val="center"/>
          </w:tcP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tc>
        <w:tc>
          <w:tcPr>
            <w:tcW w:w="2239" w:type="dxa"/>
            <w:gridSpan w:val="4"/>
            <w:vAlign w:val="center"/>
          </w:tcPr>
          <w:p/>
        </w:tc>
        <w:tc>
          <w:tcPr>
            <w:tcW w:w="2098" w:type="dxa"/>
            <w:gridSpan w:val="8"/>
            <w:vAlign w:val="center"/>
          </w:tcP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tc>
        <w:tc>
          <w:tcPr>
            <w:tcW w:w="2145" w:type="dxa"/>
            <w:gridSpan w:val="6"/>
            <w:vAlign w:val="center"/>
          </w:tcPr>
          <w:p/>
        </w:tc>
        <w:tc>
          <w:tcPr>
            <w:tcW w:w="2239" w:type="dxa"/>
            <w:gridSpan w:val="4"/>
            <w:vAlign w:val="center"/>
          </w:tcPr>
          <w:p/>
        </w:tc>
        <w:tc>
          <w:tcPr>
            <w:tcW w:w="2098" w:type="dxa"/>
            <w:gridSpan w:val="8"/>
            <w:vAlign w:val="center"/>
          </w:tcPr>
          <w:p/>
        </w:tc>
        <w:tc>
          <w:tcPr>
            <w:tcW w:w="14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restart"/>
            <w:vAlign w:val="center"/>
          </w:tcPr>
          <w:p>
            <w:r>
              <w:rPr>
                <w:rFonts w:hint="eastAsia"/>
              </w:rPr>
              <w:t>矿山地质环境影响</w:t>
            </w:r>
          </w:p>
        </w:tc>
        <w:tc>
          <w:tcPr>
            <w:tcW w:w="999" w:type="dxa"/>
            <w:gridSpan w:val="2"/>
            <w:vMerge w:val="restart"/>
            <w:vAlign w:val="center"/>
          </w:tcPr>
          <w:p>
            <w:r>
              <w:rPr>
                <w:rFonts w:hint="eastAsia"/>
              </w:rPr>
              <w:t>地质环境影响评估级别</w:t>
            </w:r>
          </w:p>
        </w:tc>
        <w:tc>
          <w:tcPr>
            <w:tcW w:w="1062" w:type="dxa"/>
            <w:gridSpan w:val="2"/>
            <w:vAlign w:val="center"/>
          </w:tcPr>
          <w:p>
            <w:r>
              <w:rPr>
                <w:rFonts w:hint="eastAsia"/>
              </w:rPr>
              <w:t>评估区重要程度</w:t>
            </w:r>
          </w:p>
        </w:tc>
        <w:tc>
          <w:tcPr>
            <w:tcW w:w="3953" w:type="dxa"/>
            <w:gridSpan w:val="11"/>
            <w:vAlign w:val="center"/>
          </w:tcPr>
          <w:p>
            <w:r>
              <w:rPr>
                <w:rFonts w:hint="eastAsia"/>
              </w:rPr>
              <w:t>□重要区□较重要区□一般区</w:t>
            </w:r>
          </w:p>
          <w:p>
            <w:r>
              <w:rPr>
                <w:rFonts w:hint="eastAsia"/>
              </w:rPr>
              <w:t xml:space="preserve">  □一般防治区</w:t>
            </w:r>
          </w:p>
        </w:tc>
        <w:tc>
          <w:tcPr>
            <w:tcW w:w="2336" w:type="dxa"/>
            <w:gridSpan w:val="8"/>
            <w:vMerge w:val="restart"/>
            <w:vAlign w:val="center"/>
          </w:tcPr>
          <w:p>
            <w:r>
              <w:rPr>
                <w:rFonts w:hint="eastAsia"/>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地质</w:t>
            </w:r>
          </w:p>
          <w:p>
            <w:r>
              <w:rPr>
                <w:rFonts w:hint="eastAsia"/>
              </w:rPr>
              <w:t>环境条件</w:t>
            </w:r>
          </w:p>
        </w:tc>
        <w:tc>
          <w:tcPr>
            <w:tcW w:w="3953" w:type="dxa"/>
            <w:gridSpan w:val="11"/>
            <w:vAlign w:val="center"/>
          </w:tcPr>
          <w:p>
            <w:r>
              <w:rPr>
                <w:rFonts w:hint="eastAsia"/>
              </w:rPr>
              <w:t>□复杂□中等□简单</w:t>
            </w:r>
          </w:p>
        </w:tc>
        <w:tc>
          <w:tcPr>
            <w:tcW w:w="2336" w:type="dxa"/>
            <w:gridSpan w:val="8"/>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生产</w:t>
            </w:r>
          </w:p>
          <w:p>
            <w:r>
              <w:rPr>
                <w:rFonts w:hint="eastAsia"/>
              </w:rPr>
              <w:t>规模</w:t>
            </w:r>
          </w:p>
        </w:tc>
        <w:tc>
          <w:tcPr>
            <w:tcW w:w="3953" w:type="dxa"/>
            <w:gridSpan w:val="11"/>
            <w:vAlign w:val="center"/>
          </w:tcPr>
          <w:p>
            <w:r>
              <w:rPr>
                <w:rFonts w:hint="eastAsia"/>
              </w:rPr>
              <w:t>□大型□中型□小型</w:t>
            </w:r>
          </w:p>
        </w:tc>
        <w:tc>
          <w:tcPr>
            <w:tcW w:w="2336" w:type="dxa"/>
            <w:gridSpan w:val="8"/>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tc>
        <w:tc>
          <w:tcPr>
            <w:tcW w:w="999" w:type="dxa"/>
            <w:gridSpan w:val="2"/>
            <w:vMerge w:val="restart"/>
            <w:vAlign w:val="center"/>
          </w:tcPr>
          <w:p>
            <w:r>
              <w:rPr>
                <w:rFonts w:hint="eastAsia"/>
              </w:rPr>
              <w:t>现状分析与预测</w:t>
            </w:r>
          </w:p>
        </w:tc>
        <w:tc>
          <w:tcPr>
            <w:tcW w:w="1062" w:type="dxa"/>
            <w:gridSpan w:val="2"/>
            <w:vAlign w:val="center"/>
          </w:tcPr>
          <w:p>
            <w:r>
              <w:rPr>
                <w:rFonts w:hint="eastAsia"/>
              </w:rPr>
              <w:t>矿山地质灾害现状分析与预测</w:t>
            </w:r>
          </w:p>
        </w:tc>
        <w:tc>
          <w:tcPr>
            <w:tcW w:w="6289" w:type="dxa"/>
            <w:gridSpan w:val="19"/>
            <w:vAlign w:val="center"/>
          </w:tcPr>
          <w:p>
            <w:r>
              <w:rPr>
                <w:rFonts w:hint="eastAsia"/>
              </w:rPr>
              <w:t>经实地调查，评估区内除有1个潜在不稳定边坡外，未发现崩塌、滑坡、泥石流、地面塌陷、地面沉降等地质灾害。</w:t>
            </w:r>
          </w:p>
          <w:p>
            <w:pPr>
              <w:rPr>
                <w:highlight w:val="yellow"/>
              </w:rPr>
            </w:pPr>
            <w:r>
              <w:rPr>
                <w:rFonts w:hint="eastAsia"/>
              </w:rPr>
              <w:t>通过对评估区矿业活动加剧和诱发地质灾害及矿山本身可能遭受地质灾害危险性预测分析，矿山开采引发的滑坡、崩塌、泥石流等地质灾害的规模小～中等，发生的可能性小～中等，其危险性小～中等，危害性小～中等；受威胁对象主要是采矿人员、矿山设备、运输车辆、矿山辅助设施等，地质灾害影响程度分级为：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矿区含水层破坏现状分析与预测</w:t>
            </w:r>
          </w:p>
        </w:tc>
        <w:tc>
          <w:tcPr>
            <w:tcW w:w="6289" w:type="dxa"/>
            <w:gridSpan w:val="19"/>
            <w:vAlign w:val="center"/>
          </w:tcPr>
          <w:p>
            <w:r>
              <w:rPr>
                <w:rFonts w:hint="eastAsia"/>
              </w:rPr>
              <w:t>本矿山开采方式为露天开采，评估区最低侵蚀基准面标高为约1880m；开采范围位于评估区最低侵蚀基准面之上。据现场调查，采空区无地下水渗出，现状下矿山开采对评估区范围地下水环境无影响。未来矿山开采不疏排地下水，对地下水位无影响。</w:t>
            </w:r>
          </w:p>
          <w:p>
            <w:pPr>
              <w:rPr>
                <w:highlight w:val="yellow"/>
              </w:rPr>
            </w:pPr>
            <w:r>
              <w:rPr>
                <w:rFonts w:hint="eastAsia"/>
              </w:rPr>
              <w:t>综上所述，预测矿业活动对评估区地下水含水层的影响和破坏程度较轻。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矿区地形地貌景观（地质遗迹、人文景观）破坏现状分析与预测</w:t>
            </w:r>
          </w:p>
        </w:tc>
        <w:tc>
          <w:tcPr>
            <w:tcW w:w="6289" w:type="dxa"/>
            <w:gridSpan w:val="19"/>
            <w:vAlign w:val="center"/>
          </w:tcPr>
          <w:p>
            <w:pPr>
              <w:rPr>
                <w:highlight w:val="yellow"/>
              </w:rPr>
            </w:pPr>
            <w:r>
              <w:rPr>
                <w:rFonts w:hint="eastAsia"/>
                <w:highlight w:val="yellow"/>
              </w:rPr>
              <w:t>本矿山开采方式为露天开采，现状下矿区范围内采空区（排土场等工业场地位于其中）面积约3.0607hm2，最大采深约64m</w:t>
            </w:r>
            <w:r>
              <w:rPr>
                <w:highlight w:val="yellow"/>
              </w:rPr>
              <w:t>。</w:t>
            </w:r>
            <w:r>
              <w:rPr>
                <w:rFonts w:hint="eastAsia"/>
                <w:highlight w:val="yellow"/>
              </w:rPr>
              <w:t>生活办公区占地面积0.1501hm2，矿山公路建设占地面积0.2002hm2，总的占用及破坏面积为1.5839hm2，其中破坏乔木林地总面积3.1491hm2。采矿活动中山体大规模的岩土体剥离，破坏了植被，改变了地形，破坏了地形地貌景观，破坏了当地环境。对照《规范》附录E，矿山开采及矿山工程建设对地形地貌景观、土地资源的破坏和影响程度为较严重。</w:t>
            </w:r>
          </w:p>
          <w:p>
            <w:pPr>
              <w:rPr>
                <w:highlight w:val="yellow"/>
              </w:rPr>
            </w:pPr>
            <w:r>
              <w:rPr>
                <w:rFonts w:hint="eastAsia"/>
                <w:highlight w:val="yellow"/>
              </w:rPr>
              <w:t>矿山原有设施不再破坏地形地貌；根据《开发利用方案》，矿山分2期开采，设计先开采Ⅰ期范围，后开采Ⅱ期范围。至开采结束最终形成露天采空区面积约为8.6692hm2，采空区底部平台标高2050</w:t>
            </w:r>
            <w:r>
              <w:rPr>
                <w:highlight w:val="yellow"/>
              </w:rPr>
              <w:t>m</w:t>
            </w:r>
            <w:r>
              <w:rPr>
                <w:rFonts w:hint="eastAsia"/>
                <w:highlight w:val="yellow"/>
              </w:rPr>
              <w:t>，外缘最高标高2150m，最大采深约100m。在未来的开采中，预测破坏各种地类总面积为9.672 hm2，其中将破坏旱地总面积为1.1404 hm2，破坏乔木林地总面积为7.534hm2，破坏乔木林地总面积为2.8401 hm2。矿石剥离开采破坏植被，改变了地形地貌；矿业活动对地形地貌景观的影响和破坏较严重，对土地资源的影响和破坏严重（占用、破坏林地面积大于4 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矿区水土环境污染现状分析与预测</w:t>
            </w:r>
          </w:p>
        </w:tc>
        <w:tc>
          <w:tcPr>
            <w:tcW w:w="6289" w:type="dxa"/>
            <w:gridSpan w:val="19"/>
            <w:vAlign w:val="center"/>
          </w:tcPr>
          <w:p>
            <w:r>
              <w:rPr>
                <w:rFonts w:hint="eastAsia"/>
              </w:rPr>
              <w:t>本矿矿石不含有毒有害成分，无重金属成分及废机油堆存，采场淋漓水有毒有害成份甚微，矿山开采产生的污染物较少，生产过程中排放的污水量小于10</w:t>
            </w:r>
            <w:r>
              <w:t xml:space="preserve"> m3/d</w:t>
            </w:r>
            <w:r>
              <w:rPr>
                <w:rFonts w:hint="eastAsia"/>
              </w:rPr>
              <w:t>，污水一般在矿坑低洼处收集，用于采场的洒水降尘，生产污水对当地的水环境影响较轻。矿山生活污水排放量小，对矿区及周围生产生活用水无影响。随着未来生产规模增加，生活及生产污水稍为加大，但对当地水土环境影响轻微。现状和未来矿山开采对当地的水环境影响、土壤污染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14" w:type="dxa"/>
            <w:vMerge w:val="continue"/>
            <w:vAlign w:val="center"/>
          </w:tcPr>
          <w:p/>
        </w:tc>
        <w:tc>
          <w:tcPr>
            <w:tcW w:w="999" w:type="dxa"/>
            <w:gridSpan w:val="2"/>
            <w:vMerge w:val="continue"/>
            <w:vAlign w:val="center"/>
          </w:tcPr>
          <w:p/>
        </w:tc>
        <w:tc>
          <w:tcPr>
            <w:tcW w:w="1062" w:type="dxa"/>
            <w:gridSpan w:val="2"/>
            <w:vAlign w:val="center"/>
          </w:tcPr>
          <w:p>
            <w:r>
              <w:rPr>
                <w:rFonts w:hint="eastAsia"/>
              </w:rPr>
              <w:t>村庄及重要设施影响  评估</w:t>
            </w:r>
          </w:p>
        </w:tc>
        <w:tc>
          <w:tcPr>
            <w:tcW w:w="6289" w:type="dxa"/>
            <w:gridSpan w:val="19"/>
            <w:vAlign w:val="center"/>
          </w:tcPr>
          <w:p>
            <w:r>
              <w:rPr>
                <w:rFonts w:hint="eastAsia"/>
              </w:rPr>
              <w:t>评估区范围内无村庄及重要设施，村庄与采场最近距离较远，采场爆破活动对其安全影响小，危险性小，危害性较轻。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4" w:type="dxa"/>
            <w:vMerge w:val="continue"/>
            <w:vAlign w:val="center"/>
          </w:tcPr>
          <w:p/>
        </w:tc>
        <w:tc>
          <w:tcPr>
            <w:tcW w:w="2061" w:type="dxa"/>
            <w:gridSpan w:val="4"/>
            <w:vAlign w:val="center"/>
          </w:tcPr>
          <w:p>
            <w:r>
              <w:t>适宜性</w:t>
            </w:r>
            <w:r>
              <w:rPr>
                <w:rFonts w:hint="eastAsia"/>
              </w:rPr>
              <w:t>综合评估</w:t>
            </w:r>
          </w:p>
        </w:tc>
        <w:tc>
          <w:tcPr>
            <w:tcW w:w="6289" w:type="dxa"/>
            <w:gridSpan w:val="19"/>
            <w:vAlign w:val="center"/>
          </w:tcPr>
          <w:p>
            <w:r>
              <w:t>矿山建设总体适宜性为</w:t>
            </w:r>
            <w:r>
              <w:rPr>
                <w:rFonts w:hint="eastAsia"/>
              </w:rPr>
              <w:t>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restart"/>
            <w:vAlign w:val="center"/>
          </w:tcPr>
          <w:p>
            <w:r>
              <w:rPr>
                <w:rFonts w:hint="eastAsia"/>
              </w:rPr>
              <w:t>矿土地损毁预测与评估</w:t>
            </w:r>
          </w:p>
        </w:tc>
        <w:tc>
          <w:tcPr>
            <w:tcW w:w="2061" w:type="dxa"/>
            <w:gridSpan w:val="4"/>
            <w:vAlign w:val="center"/>
          </w:tcPr>
          <w:p>
            <w:r>
              <w:rPr>
                <w:rFonts w:hint="eastAsia"/>
              </w:rPr>
              <w:t>土地损毁的环节与时序</w:t>
            </w:r>
          </w:p>
        </w:tc>
        <w:tc>
          <w:tcPr>
            <w:tcW w:w="6289" w:type="dxa"/>
            <w:gridSpan w:val="19"/>
            <w:vAlign w:val="center"/>
          </w:tcPr>
          <w:p>
            <w:r>
              <w:t>损毁环节主要是：</w:t>
            </w:r>
            <w:r>
              <w:rPr>
                <w:rFonts w:hint="eastAsia"/>
              </w:rPr>
              <w:t>首先为基建期办公生活区、排土场、矿山道路等矿山辅助设施建设造成的</w:t>
            </w:r>
            <w:r>
              <w:t>压占损毁</w:t>
            </w:r>
            <w:r>
              <w:rPr>
                <w:rFonts w:hint="eastAsia"/>
              </w:rPr>
              <w:t>。其次在生产过程中废石、土排放造成的压占损毁；采空区范围矿石开采剥离采矿</w:t>
            </w:r>
            <w:r>
              <w:t>造成的挖损损毁</w:t>
            </w:r>
            <w:r>
              <w:rPr>
                <w:rFonts w:hint="eastAsia"/>
              </w:rPr>
              <w:t>；</w:t>
            </w:r>
          </w:p>
          <w:p>
            <w:r>
              <w:rPr>
                <w:rFonts w:hint="eastAsia"/>
              </w:rPr>
              <w:t>矿山</w:t>
            </w:r>
            <w:r>
              <w:t>对土地的损毁时序同项目建设和生产进度一致。</w:t>
            </w:r>
          </w:p>
          <w:p>
            <w:r>
              <w:t>压占损毁时序：</w:t>
            </w:r>
            <w:r>
              <w:rPr>
                <w:rFonts w:hint="eastAsia"/>
              </w:rPr>
              <w:t>基建期办公生活区、堆料排土场、矿山道路等矿山辅助设施建设过程中场地平整</w:t>
            </w:r>
            <w:r>
              <w:t>→</w:t>
            </w:r>
            <w:r>
              <w:rPr>
                <w:rFonts w:hint="eastAsia"/>
              </w:rPr>
              <w:t>构筑物修建形成的压占损毁。在排土场区域，矿石开采中废土、废石堆放对土地形成的压占损毁</w:t>
            </w:r>
            <w:r>
              <w:t>。</w:t>
            </w:r>
          </w:p>
          <w:p>
            <w:r>
              <w:rPr>
                <w:rFonts w:hint="eastAsia"/>
              </w:rPr>
              <w:t>挖损损毁时序：生产期露采场范围采矿过程中</w:t>
            </w:r>
            <w:r>
              <w:t>表土剥离→矿石开挖引起</w:t>
            </w:r>
            <w:r>
              <w:rPr>
                <w:rFonts w:hint="eastAsia"/>
              </w:rPr>
              <w:t>的</w:t>
            </w:r>
            <w:r>
              <w:t>挖损损毁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rPr>
                <w:highlight w:val="yellow"/>
              </w:rPr>
            </w:pPr>
          </w:p>
        </w:tc>
        <w:tc>
          <w:tcPr>
            <w:tcW w:w="2061" w:type="dxa"/>
            <w:gridSpan w:val="4"/>
            <w:vAlign w:val="center"/>
          </w:tcPr>
          <w:p>
            <w:r>
              <w:rPr>
                <w:rFonts w:hint="eastAsia"/>
              </w:rPr>
              <w:t>已损毁各类土地现状</w:t>
            </w:r>
          </w:p>
        </w:tc>
        <w:tc>
          <w:tcPr>
            <w:tcW w:w="6289" w:type="dxa"/>
            <w:gridSpan w:val="19"/>
            <w:vAlign w:val="center"/>
          </w:tcPr>
          <w:p>
            <w:pPr>
              <w:rPr>
                <w:highlight w:val="yellow"/>
              </w:rPr>
            </w:pPr>
            <w:r>
              <w:rPr>
                <w:rFonts w:hint="eastAsia"/>
              </w:rPr>
              <w:t>矿山现状已损毁土地类型为采矿用地、农村道路等，现状下占用及破坏土地资源总面积为1.5839hm2，矿山占用或破坏的土地资源主要为矿山辅助设施占用及原注销矿权挖损损毁土地资源。其中采矿用地1.1338hm2、农村道路0.4501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rPr>
                <w:highlight w:val="yellow"/>
              </w:rPr>
            </w:pPr>
          </w:p>
        </w:tc>
        <w:tc>
          <w:tcPr>
            <w:tcW w:w="2061" w:type="dxa"/>
            <w:gridSpan w:val="4"/>
            <w:vAlign w:val="center"/>
          </w:tcPr>
          <w:p>
            <w:r>
              <w:rPr>
                <w:rFonts w:hint="eastAsia"/>
              </w:rPr>
              <w:t>拟损毁土地预测与评估</w:t>
            </w:r>
          </w:p>
        </w:tc>
        <w:tc>
          <w:tcPr>
            <w:tcW w:w="6289" w:type="dxa"/>
            <w:gridSpan w:val="19"/>
            <w:vAlign w:val="center"/>
          </w:tcPr>
          <w:p>
            <w:pPr>
              <w:rPr>
                <w:highlight w:val="yellow"/>
              </w:rPr>
            </w:pPr>
            <w:r>
              <w:rPr>
                <w:rFonts w:hint="eastAsia"/>
              </w:rPr>
              <w:t>矿山拟损毁土地类型为拟采区挖损和辅助设施压占，面积为8.0881hm2，损毁地类为旱地、果园、乔木林地、灌木林地、采矿用地、农村道路，损毁方式为挖损损毁，损毁程度为重度损毁，矿山总的占用和破坏土地类型旱地7.3314hm2、果园0.0269hm2、乔木林地0.2053hm2、灌木林地0.4547hm2、采矿用地0.0378hm2、农村道路0.032hm2。预测矿业活动对土地资源的破坏程度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restart"/>
            <w:vAlign w:val="center"/>
          </w:tcPr>
          <w:p>
            <w:r>
              <w:rPr>
                <w:rFonts w:hint="eastAsia"/>
              </w:rPr>
              <w:t>复垦区土地利用现状</w:t>
            </w:r>
          </w:p>
        </w:tc>
        <w:tc>
          <w:tcPr>
            <w:tcW w:w="1759" w:type="dxa"/>
            <w:gridSpan w:val="2"/>
            <w:vMerge w:val="restart"/>
            <w:vAlign w:val="center"/>
          </w:tcPr>
          <w:p>
            <w:r>
              <w:rPr>
                <w:rFonts w:hint="eastAsia"/>
              </w:rPr>
              <w:t>一级地类</w:t>
            </w:r>
          </w:p>
        </w:tc>
        <w:tc>
          <w:tcPr>
            <w:tcW w:w="1286" w:type="dxa"/>
            <w:gridSpan w:val="5"/>
            <w:vMerge w:val="restart"/>
            <w:vAlign w:val="center"/>
          </w:tcPr>
          <w:p>
            <w:r>
              <w:rPr>
                <w:rFonts w:hint="eastAsia"/>
              </w:rPr>
              <w:t>二级地类</w:t>
            </w:r>
          </w:p>
        </w:tc>
        <w:tc>
          <w:tcPr>
            <w:tcW w:w="1289" w:type="dxa"/>
            <w:vMerge w:val="restart"/>
            <w:vAlign w:val="center"/>
          </w:tcPr>
          <w:p>
            <w:r>
              <w:rPr>
                <w:rFonts w:hint="eastAsia"/>
              </w:rPr>
              <w:t>小计</w:t>
            </w:r>
          </w:p>
        </w:tc>
        <w:tc>
          <w:tcPr>
            <w:tcW w:w="1680" w:type="dxa"/>
            <w:gridSpan w:val="7"/>
            <w:vAlign w:val="center"/>
          </w:tcPr>
          <w:p>
            <w:pPr>
              <w:rPr>
                <w:highlight w:val="yellow"/>
              </w:rPr>
            </w:pPr>
            <w:r>
              <w:rPr>
                <w:rFonts w:hint="eastAsia"/>
              </w:rPr>
              <w:t>已损毁</w:t>
            </w:r>
          </w:p>
        </w:tc>
        <w:tc>
          <w:tcPr>
            <w:tcW w:w="1976" w:type="dxa"/>
            <w:gridSpan w:val="6"/>
            <w:vAlign w:val="center"/>
          </w:tcPr>
          <w:p>
            <w:r>
              <w:rPr>
                <w:rFonts w:hint="eastAsia"/>
              </w:rPr>
              <w:t>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759" w:type="dxa"/>
            <w:gridSpan w:val="2"/>
            <w:vMerge w:val="continue"/>
            <w:vAlign w:val="center"/>
          </w:tcPr>
          <w:p/>
        </w:tc>
        <w:tc>
          <w:tcPr>
            <w:tcW w:w="1286" w:type="dxa"/>
            <w:gridSpan w:val="5"/>
            <w:vMerge w:val="continue"/>
            <w:vAlign w:val="center"/>
          </w:tcPr>
          <w:p/>
        </w:tc>
        <w:tc>
          <w:tcPr>
            <w:tcW w:w="1289" w:type="dxa"/>
            <w:vMerge w:val="continue"/>
            <w:vAlign w:val="center"/>
          </w:tcPr>
          <w:p/>
        </w:tc>
        <w:tc>
          <w:tcPr>
            <w:tcW w:w="801" w:type="dxa"/>
            <w:gridSpan w:val="4"/>
            <w:tcMar>
              <w:left w:w="28" w:type="dxa"/>
              <w:right w:w="28" w:type="dxa"/>
            </w:tcMar>
            <w:vAlign w:val="center"/>
          </w:tcPr>
          <w:p>
            <w:r>
              <w:rPr>
                <w:rFonts w:hint="eastAsia"/>
              </w:rPr>
              <w:t>挖损</w:t>
            </w:r>
          </w:p>
        </w:tc>
        <w:tc>
          <w:tcPr>
            <w:tcW w:w="879" w:type="dxa"/>
            <w:gridSpan w:val="3"/>
            <w:tcMar>
              <w:left w:w="28" w:type="dxa"/>
              <w:right w:w="28" w:type="dxa"/>
            </w:tcMar>
            <w:vAlign w:val="center"/>
          </w:tcPr>
          <w:p>
            <w:r>
              <w:rPr>
                <w:rFonts w:hint="eastAsia"/>
              </w:rPr>
              <w:t>压占</w:t>
            </w:r>
          </w:p>
        </w:tc>
        <w:tc>
          <w:tcPr>
            <w:tcW w:w="1090" w:type="dxa"/>
            <w:gridSpan w:val="4"/>
            <w:tcMar>
              <w:left w:w="28" w:type="dxa"/>
              <w:right w:w="28" w:type="dxa"/>
            </w:tcMar>
            <w:vAlign w:val="center"/>
          </w:tcPr>
          <w:p>
            <w:r>
              <w:rPr>
                <w:rFonts w:hint="eastAsia"/>
              </w:rPr>
              <w:t>挖损</w:t>
            </w:r>
          </w:p>
        </w:tc>
        <w:tc>
          <w:tcPr>
            <w:tcW w:w="886" w:type="dxa"/>
            <w:gridSpan w:val="2"/>
            <w:tcMar>
              <w:left w:w="28" w:type="dxa"/>
              <w:right w:w="28" w:type="dxa"/>
            </w:tcMar>
            <w:vAlign w:val="center"/>
          </w:tcPr>
          <w:p>
            <w:r>
              <w:rPr>
                <w:rFonts w:hint="eastAsia"/>
              </w:rPr>
              <w:t>压占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耕地</w:t>
            </w:r>
          </w:p>
        </w:tc>
        <w:tc>
          <w:tcPr>
            <w:tcW w:w="1286" w:type="dxa"/>
            <w:gridSpan w:val="5"/>
            <w:vAlign w:val="center"/>
          </w:tcPr>
          <w:p>
            <w:r>
              <w:rPr>
                <w:rFonts w:hint="eastAsia"/>
              </w:rPr>
              <w:t>旱地</w:t>
            </w:r>
          </w:p>
        </w:tc>
        <w:tc>
          <w:tcPr>
            <w:tcW w:w="1289" w:type="dxa"/>
            <w:vAlign w:val="center"/>
          </w:tcPr>
          <w:p>
            <w:r>
              <w:rPr>
                <w:rFonts w:hint="eastAsia"/>
              </w:rPr>
              <w:t>7.3314</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w:t>
            </w:r>
          </w:p>
        </w:tc>
        <w:tc>
          <w:tcPr>
            <w:tcW w:w="1090" w:type="dxa"/>
            <w:gridSpan w:val="4"/>
            <w:tcMar>
              <w:left w:w="28" w:type="dxa"/>
              <w:right w:w="28" w:type="dxa"/>
            </w:tcMar>
            <w:vAlign w:val="center"/>
          </w:tcPr>
          <w:p>
            <w:r>
              <w:rPr>
                <w:rFonts w:hint="eastAsia"/>
              </w:rPr>
              <w:t>6.5135</w:t>
            </w:r>
          </w:p>
        </w:tc>
        <w:tc>
          <w:tcPr>
            <w:tcW w:w="886" w:type="dxa"/>
            <w:gridSpan w:val="2"/>
            <w:tcMar>
              <w:left w:w="28" w:type="dxa"/>
              <w:right w:w="28" w:type="dxa"/>
            </w:tcMar>
            <w:vAlign w:val="center"/>
          </w:tcPr>
          <w:p>
            <w:r>
              <w:rPr>
                <w:rFonts w:hint="eastAsia"/>
              </w:rPr>
              <w:t>0.8179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园地</w:t>
            </w:r>
          </w:p>
        </w:tc>
        <w:tc>
          <w:tcPr>
            <w:tcW w:w="1286" w:type="dxa"/>
            <w:gridSpan w:val="5"/>
            <w:vAlign w:val="center"/>
          </w:tcPr>
          <w:p>
            <w:r>
              <w:rPr>
                <w:rFonts w:hint="eastAsia"/>
              </w:rPr>
              <w:t>果园</w:t>
            </w:r>
          </w:p>
        </w:tc>
        <w:tc>
          <w:tcPr>
            <w:tcW w:w="1289" w:type="dxa"/>
            <w:vAlign w:val="center"/>
          </w:tcPr>
          <w:p>
            <w:r>
              <w:rPr>
                <w:rFonts w:hint="eastAsia"/>
              </w:rPr>
              <w:t>0.0269</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tc>
        <w:tc>
          <w:tcPr>
            <w:tcW w:w="1090" w:type="dxa"/>
            <w:gridSpan w:val="4"/>
            <w:tcMar>
              <w:left w:w="28" w:type="dxa"/>
              <w:right w:w="28" w:type="dxa"/>
            </w:tcMar>
            <w:vAlign w:val="center"/>
          </w:tcPr>
          <w:p>
            <w:r>
              <w:rPr>
                <w:rFonts w:hint="eastAsia"/>
              </w:rPr>
              <w:t>0.0269</w:t>
            </w:r>
          </w:p>
        </w:tc>
        <w:tc>
          <w:tcPr>
            <w:tcW w:w="886" w:type="dxa"/>
            <w:gridSpan w:val="2"/>
            <w:tcMar>
              <w:left w:w="28" w:type="dxa"/>
              <w:right w:w="28" w:type="dxa"/>
            </w:tcMar>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林地</w:t>
            </w:r>
          </w:p>
        </w:tc>
        <w:tc>
          <w:tcPr>
            <w:tcW w:w="1286" w:type="dxa"/>
            <w:gridSpan w:val="5"/>
            <w:vAlign w:val="center"/>
          </w:tcPr>
          <w:p>
            <w:r>
              <w:rPr>
                <w:rFonts w:hint="eastAsia"/>
              </w:rPr>
              <w:t>乔木林地</w:t>
            </w:r>
          </w:p>
        </w:tc>
        <w:tc>
          <w:tcPr>
            <w:tcW w:w="1289" w:type="dxa"/>
            <w:vAlign w:val="center"/>
          </w:tcPr>
          <w:p>
            <w:r>
              <w:rPr>
                <w:rFonts w:hint="eastAsia"/>
              </w:rPr>
              <w:t>0.2053</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w:t>
            </w:r>
          </w:p>
        </w:tc>
        <w:tc>
          <w:tcPr>
            <w:tcW w:w="1090" w:type="dxa"/>
            <w:gridSpan w:val="4"/>
            <w:tcMar>
              <w:left w:w="28" w:type="dxa"/>
              <w:right w:w="28" w:type="dxa"/>
            </w:tcMar>
            <w:vAlign w:val="center"/>
          </w:tcPr>
          <w:p>
            <w:r>
              <w:rPr>
                <w:rFonts w:hint="eastAsia"/>
              </w:rPr>
              <w:t>0.2006</w:t>
            </w:r>
          </w:p>
        </w:tc>
        <w:tc>
          <w:tcPr>
            <w:tcW w:w="886" w:type="dxa"/>
            <w:gridSpan w:val="2"/>
            <w:tcMar>
              <w:left w:w="28" w:type="dxa"/>
              <w:right w:w="28" w:type="dxa"/>
            </w:tcMar>
            <w:vAlign w:val="center"/>
          </w:tcPr>
          <w:p>
            <w:r>
              <w:rPr>
                <w:rFonts w:hint="eastAsia"/>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林地</w:t>
            </w:r>
          </w:p>
        </w:tc>
        <w:tc>
          <w:tcPr>
            <w:tcW w:w="1286" w:type="dxa"/>
            <w:gridSpan w:val="5"/>
            <w:vAlign w:val="center"/>
          </w:tcPr>
          <w:p>
            <w:r>
              <w:rPr>
                <w:rFonts w:hint="eastAsia"/>
              </w:rPr>
              <w:t>灌木林地</w:t>
            </w:r>
          </w:p>
        </w:tc>
        <w:tc>
          <w:tcPr>
            <w:tcW w:w="1289" w:type="dxa"/>
            <w:vAlign w:val="center"/>
          </w:tcPr>
          <w:p>
            <w:r>
              <w:rPr>
                <w:rFonts w:hint="eastAsia"/>
              </w:rPr>
              <w:t>0.4547</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w:t>
            </w:r>
          </w:p>
        </w:tc>
        <w:tc>
          <w:tcPr>
            <w:tcW w:w="1090" w:type="dxa"/>
            <w:gridSpan w:val="4"/>
            <w:tcMar>
              <w:left w:w="28" w:type="dxa"/>
              <w:right w:w="28" w:type="dxa"/>
            </w:tcMar>
            <w:vAlign w:val="center"/>
          </w:tcPr>
          <w:p>
            <w:r>
              <w:rPr>
                <w:rFonts w:hint="eastAsia"/>
              </w:rPr>
              <w:t>0.4547</w:t>
            </w:r>
          </w:p>
        </w:tc>
        <w:tc>
          <w:tcPr>
            <w:tcW w:w="886" w:type="dxa"/>
            <w:gridSpan w:val="2"/>
            <w:tcMar>
              <w:left w:w="28" w:type="dxa"/>
              <w:right w:w="28" w:type="dxa"/>
            </w:tcMar>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工矿仓储用地</w:t>
            </w:r>
          </w:p>
        </w:tc>
        <w:tc>
          <w:tcPr>
            <w:tcW w:w="1286" w:type="dxa"/>
            <w:gridSpan w:val="5"/>
            <w:vAlign w:val="center"/>
          </w:tcPr>
          <w:p>
            <w:r>
              <w:rPr>
                <w:rFonts w:hint="eastAsia"/>
              </w:rPr>
              <w:t>采矿用地</w:t>
            </w:r>
          </w:p>
        </w:tc>
        <w:tc>
          <w:tcPr>
            <w:tcW w:w="1289" w:type="dxa"/>
            <w:vAlign w:val="center"/>
          </w:tcPr>
          <w:p>
            <w:r>
              <w:rPr>
                <w:rFonts w:hint="eastAsia"/>
              </w:rPr>
              <w:t>1.1716</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1.1338</w:t>
            </w:r>
          </w:p>
        </w:tc>
        <w:tc>
          <w:tcPr>
            <w:tcW w:w="1090" w:type="dxa"/>
            <w:gridSpan w:val="4"/>
            <w:tcMar>
              <w:left w:w="28" w:type="dxa"/>
              <w:right w:w="28" w:type="dxa"/>
            </w:tcMar>
            <w:vAlign w:val="center"/>
          </w:tcPr>
          <w:p>
            <w:r>
              <w:rPr>
                <w:rFonts w:hint="eastAsia"/>
              </w:rPr>
              <w:t>0.0378</w:t>
            </w:r>
          </w:p>
        </w:tc>
        <w:tc>
          <w:tcPr>
            <w:tcW w:w="886" w:type="dxa"/>
            <w:gridSpan w:val="2"/>
            <w:tcMar>
              <w:left w:w="28" w:type="dxa"/>
              <w:right w:w="28" w:type="dxa"/>
            </w:tcMar>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1759" w:type="dxa"/>
            <w:gridSpan w:val="2"/>
            <w:vAlign w:val="center"/>
          </w:tcPr>
          <w:p>
            <w:r>
              <w:rPr>
                <w:rFonts w:hint="eastAsia"/>
              </w:rPr>
              <w:t>交通运输用地</w:t>
            </w:r>
          </w:p>
        </w:tc>
        <w:tc>
          <w:tcPr>
            <w:tcW w:w="1286" w:type="dxa"/>
            <w:gridSpan w:val="5"/>
            <w:tcMar>
              <w:left w:w="28" w:type="dxa"/>
              <w:right w:w="28" w:type="dxa"/>
            </w:tcMar>
            <w:vAlign w:val="center"/>
          </w:tcPr>
          <w:p>
            <w:r>
              <w:rPr>
                <w:rFonts w:hint="eastAsia"/>
              </w:rPr>
              <w:t>农村道路</w:t>
            </w:r>
          </w:p>
        </w:tc>
        <w:tc>
          <w:tcPr>
            <w:tcW w:w="1289" w:type="dxa"/>
            <w:vAlign w:val="center"/>
          </w:tcPr>
          <w:p>
            <w:r>
              <w:rPr>
                <w:rFonts w:hint="eastAsia"/>
              </w:rPr>
              <w:t>0.4821</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0.4501</w:t>
            </w:r>
          </w:p>
        </w:tc>
        <w:tc>
          <w:tcPr>
            <w:tcW w:w="1090" w:type="dxa"/>
            <w:gridSpan w:val="4"/>
            <w:tcMar>
              <w:left w:w="28" w:type="dxa"/>
              <w:right w:w="28" w:type="dxa"/>
            </w:tcMar>
            <w:vAlign w:val="center"/>
          </w:tcPr>
          <w:p>
            <w:r>
              <w:rPr>
                <w:rFonts w:hint="eastAsia"/>
              </w:rPr>
              <w:t>0.032</w:t>
            </w:r>
          </w:p>
        </w:tc>
        <w:tc>
          <w:tcPr>
            <w:tcW w:w="886" w:type="dxa"/>
            <w:gridSpan w:val="2"/>
            <w:tcMar>
              <w:left w:w="28" w:type="dxa"/>
              <w:right w:w="28" w:type="dxa"/>
            </w:tcMar>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3045" w:type="dxa"/>
            <w:gridSpan w:val="7"/>
            <w:vAlign w:val="center"/>
          </w:tcPr>
          <w:p>
            <w:r>
              <w:rPr>
                <w:rFonts w:hint="eastAsia"/>
              </w:rPr>
              <w:t>合计</w:t>
            </w:r>
          </w:p>
        </w:tc>
        <w:tc>
          <w:tcPr>
            <w:tcW w:w="1289" w:type="dxa"/>
            <w:vAlign w:val="center"/>
          </w:tcPr>
          <w:p>
            <w:r>
              <w:rPr>
                <w:rFonts w:hint="eastAsia"/>
              </w:rPr>
              <w:t>9.672</w:t>
            </w:r>
          </w:p>
        </w:tc>
        <w:tc>
          <w:tcPr>
            <w:tcW w:w="840" w:type="dxa"/>
            <w:gridSpan w:val="5"/>
            <w:tcMar>
              <w:left w:w="28" w:type="dxa"/>
              <w:right w:w="28" w:type="dxa"/>
            </w:tcMar>
            <w:vAlign w:val="center"/>
          </w:tcPr>
          <w:p>
            <w:r>
              <w:rPr>
                <w:rFonts w:hint="eastAsia"/>
              </w:rPr>
              <w:t>/</w:t>
            </w:r>
          </w:p>
        </w:tc>
        <w:tc>
          <w:tcPr>
            <w:tcW w:w="840" w:type="dxa"/>
            <w:gridSpan w:val="2"/>
            <w:tcMar>
              <w:left w:w="28" w:type="dxa"/>
              <w:right w:w="28" w:type="dxa"/>
            </w:tcMar>
            <w:vAlign w:val="center"/>
          </w:tcPr>
          <w:p>
            <w:r>
              <w:rPr>
                <w:rFonts w:hint="eastAsia"/>
              </w:rPr>
              <w:t>1.5839</w:t>
            </w:r>
          </w:p>
        </w:tc>
        <w:tc>
          <w:tcPr>
            <w:tcW w:w="1090" w:type="dxa"/>
            <w:gridSpan w:val="4"/>
            <w:tcMar>
              <w:left w:w="28" w:type="dxa"/>
              <w:right w:w="28" w:type="dxa"/>
            </w:tcMar>
            <w:vAlign w:val="center"/>
          </w:tcPr>
          <w:p>
            <w:r>
              <w:rPr>
                <w:rFonts w:hint="eastAsia"/>
              </w:rPr>
              <w:t>7.2655</w:t>
            </w:r>
          </w:p>
        </w:tc>
        <w:tc>
          <w:tcPr>
            <w:tcW w:w="886" w:type="dxa"/>
            <w:gridSpan w:val="2"/>
            <w:tcMar>
              <w:left w:w="28" w:type="dxa"/>
              <w:right w:w="28" w:type="dxa"/>
            </w:tcMar>
            <w:vAlign w:val="center"/>
          </w:tcPr>
          <w:p>
            <w:r>
              <w:rPr>
                <w:rFonts w:hint="eastAsia"/>
              </w:rPr>
              <w:t>0.8226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restart"/>
            <w:vAlign w:val="center"/>
          </w:tcPr>
          <w:p>
            <w:r>
              <w:rPr>
                <w:rFonts w:hint="eastAsia"/>
              </w:rPr>
              <w:t>复垦责任范围内土地损毁及占用面积</w:t>
            </w:r>
          </w:p>
        </w:tc>
        <w:tc>
          <w:tcPr>
            <w:tcW w:w="3045" w:type="dxa"/>
            <w:gridSpan w:val="7"/>
            <w:vMerge w:val="restart"/>
            <w:vAlign w:val="center"/>
          </w:tcPr>
          <w:p>
            <w:r>
              <w:rPr>
                <w:rFonts w:hint="eastAsia"/>
              </w:rPr>
              <w:t>类型</w:t>
            </w:r>
          </w:p>
        </w:tc>
        <w:tc>
          <w:tcPr>
            <w:tcW w:w="4945" w:type="dxa"/>
            <w:gridSpan w:val="14"/>
            <w:vAlign w:val="center"/>
          </w:tcPr>
          <w:p>
            <w:r>
              <w:rPr>
                <w:rFonts w:hint="eastAsia"/>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tc>
        <w:tc>
          <w:tcPr>
            <w:tcW w:w="3045" w:type="dxa"/>
            <w:gridSpan w:val="7"/>
            <w:vMerge w:val="continue"/>
            <w:vAlign w:val="center"/>
          </w:tcPr>
          <w:p/>
        </w:tc>
        <w:tc>
          <w:tcPr>
            <w:tcW w:w="1322" w:type="dxa"/>
            <w:gridSpan w:val="2"/>
            <w:vAlign w:val="center"/>
          </w:tcPr>
          <w:p>
            <w:r>
              <w:rPr>
                <w:rFonts w:hint="eastAsia"/>
              </w:rPr>
              <w:t>小计</w:t>
            </w:r>
          </w:p>
        </w:tc>
        <w:tc>
          <w:tcPr>
            <w:tcW w:w="1647" w:type="dxa"/>
            <w:gridSpan w:val="6"/>
            <w:vAlign w:val="center"/>
          </w:tcPr>
          <w:p>
            <w:r>
              <w:rPr>
                <w:rFonts w:hint="eastAsia"/>
              </w:rPr>
              <w:t>已损毁</w:t>
            </w:r>
          </w:p>
        </w:tc>
        <w:tc>
          <w:tcPr>
            <w:tcW w:w="1976" w:type="dxa"/>
            <w:gridSpan w:val="6"/>
            <w:vAlign w:val="center"/>
          </w:tcPr>
          <w:p>
            <w:r>
              <w:rPr>
                <w:rFonts w:hint="eastAsia"/>
              </w:rPr>
              <w:t>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918" w:type="dxa"/>
            <w:gridSpan w:val="4"/>
            <w:vMerge w:val="restart"/>
            <w:vAlign w:val="center"/>
          </w:tcPr>
          <w:p>
            <w:r>
              <w:rPr>
                <w:rFonts w:hint="eastAsia"/>
              </w:rPr>
              <w:t>损毁</w:t>
            </w:r>
          </w:p>
        </w:tc>
        <w:tc>
          <w:tcPr>
            <w:tcW w:w="1127" w:type="dxa"/>
            <w:gridSpan w:val="3"/>
            <w:vAlign w:val="center"/>
          </w:tcPr>
          <w:p>
            <w:r>
              <w:rPr>
                <w:rFonts w:hint="eastAsia"/>
              </w:rPr>
              <w:t>挖损</w:t>
            </w:r>
          </w:p>
        </w:tc>
        <w:tc>
          <w:tcPr>
            <w:tcW w:w="1322" w:type="dxa"/>
            <w:gridSpan w:val="2"/>
            <w:vAlign w:val="center"/>
          </w:tcPr>
          <w:p>
            <w:r>
              <w:rPr>
                <w:rFonts w:hint="eastAsia"/>
              </w:rPr>
              <w:t>7.2655</w:t>
            </w:r>
          </w:p>
        </w:tc>
        <w:tc>
          <w:tcPr>
            <w:tcW w:w="1647" w:type="dxa"/>
            <w:gridSpan w:val="6"/>
            <w:vAlign w:val="center"/>
          </w:tcPr>
          <w:p>
            <w:r>
              <w:rPr>
                <w:rFonts w:hint="eastAsia"/>
              </w:rPr>
              <w:t>/</w:t>
            </w:r>
          </w:p>
        </w:tc>
        <w:tc>
          <w:tcPr>
            <w:tcW w:w="1976" w:type="dxa"/>
            <w:gridSpan w:val="6"/>
            <w:vAlign w:val="center"/>
          </w:tcPr>
          <w:p>
            <w:r>
              <w:rPr>
                <w:rFonts w:hint="eastAsia"/>
              </w:rPr>
              <w:t>7.2655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918" w:type="dxa"/>
            <w:gridSpan w:val="4"/>
            <w:vMerge w:val="continue"/>
            <w:vAlign w:val="center"/>
          </w:tcPr>
          <w:p/>
        </w:tc>
        <w:tc>
          <w:tcPr>
            <w:tcW w:w="1127" w:type="dxa"/>
            <w:gridSpan w:val="3"/>
            <w:vAlign w:val="center"/>
          </w:tcPr>
          <w:p>
            <w:r>
              <w:rPr>
                <w:rFonts w:hint="eastAsia"/>
              </w:rPr>
              <w:t>塌陷</w:t>
            </w:r>
          </w:p>
        </w:tc>
        <w:tc>
          <w:tcPr>
            <w:tcW w:w="1322" w:type="dxa"/>
            <w:gridSpan w:val="2"/>
            <w:vAlign w:val="center"/>
          </w:tcPr>
          <w:p>
            <w:r>
              <w:rPr>
                <w:rFonts w:hint="eastAsia"/>
              </w:rPr>
              <w:t>/</w:t>
            </w:r>
          </w:p>
        </w:tc>
        <w:tc>
          <w:tcPr>
            <w:tcW w:w="1647" w:type="dxa"/>
            <w:gridSpan w:val="6"/>
            <w:vAlign w:val="center"/>
          </w:tcPr>
          <w:p>
            <w:r>
              <w:rPr>
                <w:rFonts w:hint="eastAsia"/>
              </w:rPr>
              <w:t>/</w:t>
            </w:r>
          </w:p>
        </w:tc>
        <w:tc>
          <w:tcPr>
            <w:tcW w:w="1976" w:type="dxa"/>
            <w:gridSpan w:val="6"/>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918" w:type="dxa"/>
            <w:gridSpan w:val="4"/>
            <w:vMerge w:val="continue"/>
            <w:vAlign w:val="center"/>
          </w:tcPr>
          <w:p/>
        </w:tc>
        <w:tc>
          <w:tcPr>
            <w:tcW w:w="1127" w:type="dxa"/>
            <w:gridSpan w:val="3"/>
            <w:vAlign w:val="center"/>
          </w:tcPr>
          <w:p>
            <w:r>
              <w:rPr>
                <w:rFonts w:hint="eastAsia"/>
              </w:rPr>
              <w:t>压占</w:t>
            </w:r>
          </w:p>
        </w:tc>
        <w:tc>
          <w:tcPr>
            <w:tcW w:w="1322" w:type="dxa"/>
            <w:gridSpan w:val="2"/>
            <w:vAlign w:val="center"/>
          </w:tcPr>
          <w:p>
            <w:r>
              <w:rPr>
                <w:rFonts w:hint="eastAsia"/>
              </w:rPr>
              <w:t>2.4065</w:t>
            </w:r>
          </w:p>
        </w:tc>
        <w:tc>
          <w:tcPr>
            <w:tcW w:w="1647" w:type="dxa"/>
            <w:gridSpan w:val="6"/>
            <w:vAlign w:val="center"/>
          </w:tcPr>
          <w:p>
            <w:r>
              <w:rPr>
                <w:rFonts w:hint="eastAsia"/>
              </w:rPr>
              <w:t>1.5839</w:t>
            </w:r>
          </w:p>
        </w:tc>
        <w:tc>
          <w:tcPr>
            <w:tcW w:w="1976" w:type="dxa"/>
            <w:gridSpan w:val="6"/>
            <w:vAlign w:val="center"/>
          </w:tcPr>
          <w:p>
            <w:r>
              <w:rPr>
                <w:rFonts w:hint="eastAsia"/>
              </w:rPr>
              <w:t>0.8226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918" w:type="dxa"/>
            <w:gridSpan w:val="4"/>
            <w:vMerge w:val="continue"/>
            <w:vAlign w:val="center"/>
          </w:tcPr>
          <w:p/>
        </w:tc>
        <w:tc>
          <w:tcPr>
            <w:tcW w:w="1127" w:type="dxa"/>
            <w:gridSpan w:val="3"/>
            <w:vAlign w:val="center"/>
          </w:tcPr>
          <w:p>
            <w:r>
              <w:rPr>
                <w:rFonts w:hint="eastAsia"/>
              </w:rPr>
              <w:t>污染</w:t>
            </w:r>
          </w:p>
        </w:tc>
        <w:tc>
          <w:tcPr>
            <w:tcW w:w="1322" w:type="dxa"/>
            <w:gridSpan w:val="2"/>
            <w:vAlign w:val="center"/>
          </w:tcPr>
          <w:p>
            <w:r>
              <w:rPr>
                <w:rFonts w:hint="eastAsia"/>
              </w:rPr>
              <w:t>/</w:t>
            </w:r>
          </w:p>
        </w:tc>
        <w:tc>
          <w:tcPr>
            <w:tcW w:w="1647" w:type="dxa"/>
            <w:gridSpan w:val="6"/>
            <w:vAlign w:val="center"/>
          </w:tcPr>
          <w:p>
            <w:r>
              <w:rPr>
                <w:rFonts w:hint="eastAsia"/>
              </w:rPr>
              <w:t>/</w:t>
            </w:r>
          </w:p>
        </w:tc>
        <w:tc>
          <w:tcPr>
            <w:tcW w:w="1976" w:type="dxa"/>
            <w:gridSpan w:val="6"/>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1918" w:type="dxa"/>
            <w:gridSpan w:val="4"/>
            <w:vMerge w:val="continue"/>
            <w:vAlign w:val="center"/>
          </w:tcPr>
          <w:p/>
        </w:tc>
        <w:tc>
          <w:tcPr>
            <w:tcW w:w="1127" w:type="dxa"/>
            <w:gridSpan w:val="3"/>
            <w:vAlign w:val="center"/>
          </w:tcPr>
          <w:p>
            <w:r>
              <w:rPr>
                <w:rFonts w:hint="eastAsia"/>
              </w:rPr>
              <w:t>小计</w:t>
            </w:r>
          </w:p>
        </w:tc>
        <w:tc>
          <w:tcPr>
            <w:tcW w:w="1322" w:type="dxa"/>
            <w:gridSpan w:val="2"/>
            <w:vAlign w:val="center"/>
          </w:tcPr>
          <w:p>
            <w:r>
              <w:rPr>
                <w:rFonts w:hint="eastAsia"/>
              </w:rPr>
              <w:t>9.672</w:t>
            </w:r>
          </w:p>
        </w:tc>
        <w:tc>
          <w:tcPr>
            <w:tcW w:w="1647" w:type="dxa"/>
            <w:gridSpan w:val="6"/>
            <w:vAlign w:val="center"/>
          </w:tcPr>
          <w:p>
            <w:r>
              <w:rPr>
                <w:rFonts w:hint="eastAsia"/>
              </w:rPr>
              <w:t>1.5839</w:t>
            </w:r>
          </w:p>
        </w:tc>
        <w:tc>
          <w:tcPr>
            <w:tcW w:w="1976" w:type="dxa"/>
            <w:gridSpan w:val="6"/>
            <w:vAlign w:val="center"/>
          </w:tcPr>
          <w:p>
            <w:r>
              <w:rPr>
                <w:rFonts w:hint="eastAsia"/>
              </w:rPr>
              <w:t>8.0881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tc>
        <w:tc>
          <w:tcPr>
            <w:tcW w:w="3045" w:type="dxa"/>
            <w:gridSpan w:val="7"/>
            <w:vAlign w:val="center"/>
          </w:tcPr>
          <w:p>
            <w:r>
              <w:rPr>
                <w:rFonts w:hint="eastAsia"/>
              </w:rPr>
              <w:t>占用</w:t>
            </w:r>
          </w:p>
        </w:tc>
        <w:tc>
          <w:tcPr>
            <w:tcW w:w="1322" w:type="dxa"/>
            <w:gridSpan w:val="2"/>
            <w:vAlign w:val="center"/>
          </w:tcPr>
          <w:p>
            <w:r>
              <w:rPr>
                <w:rFonts w:hint="eastAsia"/>
              </w:rPr>
              <w:t>/</w:t>
            </w:r>
          </w:p>
        </w:tc>
        <w:tc>
          <w:tcPr>
            <w:tcW w:w="1647" w:type="dxa"/>
            <w:gridSpan w:val="6"/>
            <w:vAlign w:val="center"/>
          </w:tcPr>
          <w:p>
            <w:r>
              <w:rPr>
                <w:rFonts w:hint="eastAsia"/>
              </w:rPr>
              <w:t>/</w:t>
            </w:r>
          </w:p>
        </w:tc>
        <w:tc>
          <w:tcPr>
            <w:tcW w:w="1976" w:type="dxa"/>
            <w:gridSpan w:val="6"/>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bottom w:val="single" w:color="auto" w:sz="4" w:space="0"/>
            </w:tcBorders>
            <w:vAlign w:val="center"/>
          </w:tcPr>
          <w:p/>
        </w:tc>
        <w:tc>
          <w:tcPr>
            <w:tcW w:w="3045" w:type="dxa"/>
            <w:gridSpan w:val="7"/>
            <w:vAlign w:val="center"/>
          </w:tcPr>
          <w:p>
            <w:r>
              <w:rPr>
                <w:rFonts w:hint="eastAsia"/>
              </w:rPr>
              <w:t>合计</w:t>
            </w:r>
          </w:p>
        </w:tc>
        <w:tc>
          <w:tcPr>
            <w:tcW w:w="1322" w:type="dxa"/>
            <w:gridSpan w:val="2"/>
            <w:vAlign w:val="center"/>
          </w:tcPr>
          <w:p>
            <w:r>
              <w:rPr>
                <w:rFonts w:hint="eastAsia"/>
              </w:rPr>
              <w:t>9.672</w:t>
            </w:r>
          </w:p>
        </w:tc>
        <w:tc>
          <w:tcPr>
            <w:tcW w:w="1647" w:type="dxa"/>
            <w:gridSpan w:val="6"/>
            <w:vAlign w:val="center"/>
          </w:tcPr>
          <w:p>
            <w:r>
              <w:rPr>
                <w:rFonts w:hint="eastAsia"/>
              </w:rPr>
              <w:t>1.5839</w:t>
            </w:r>
          </w:p>
        </w:tc>
        <w:tc>
          <w:tcPr>
            <w:tcW w:w="1976" w:type="dxa"/>
            <w:gridSpan w:val="6"/>
            <w:vAlign w:val="center"/>
          </w:tcPr>
          <w:p>
            <w:r>
              <w:rPr>
                <w:rFonts w:hint="eastAsia"/>
              </w:rPr>
              <w:t>8.0881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r>
              <w:rPr>
                <w:rFonts w:hint="eastAsia"/>
              </w:rPr>
              <w:t>土地复垦面积</w:t>
            </w:r>
          </w:p>
        </w:tc>
        <w:tc>
          <w:tcPr>
            <w:tcW w:w="1918" w:type="dxa"/>
            <w:gridSpan w:val="4"/>
            <w:vMerge w:val="restart"/>
            <w:tcBorders>
              <w:left w:val="single" w:color="auto" w:sz="4" w:space="0"/>
            </w:tcBorders>
            <w:vAlign w:val="center"/>
          </w:tcPr>
          <w:p>
            <w:r>
              <w:rPr>
                <w:rFonts w:hint="eastAsia"/>
              </w:rPr>
              <w:t>一级地类</w:t>
            </w:r>
          </w:p>
        </w:tc>
        <w:tc>
          <w:tcPr>
            <w:tcW w:w="2449" w:type="dxa"/>
            <w:gridSpan w:val="5"/>
            <w:vMerge w:val="restart"/>
            <w:vAlign w:val="center"/>
          </w:tcPr>
          <w:p>
            <w:r>
              <w:rPr>
                <w:rFonts w:hint="eastAsia"/>
              </w:rPr>
              <w:t>二级地类</w:t>
            </w:r>
          </w:p>
        </w:tc>
        <w:tc>
          <w:tcPr>
            <w:tcW w:w="3623" w:type="dxa"/>
            <w:gridSpan w:val="12"/>
            <w:vAlign w:val="center"/>
          </w:tcPr>
          <w:p>
            <w:r>
              <w:rPr>
                <w:rFonts w:hint="eastAsia"/>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tc>
        <w:tc>
          <w:tcPr>
            <w:tcW w:w="1918" w:type="dxa"/>
            <w:gridSpan w:val="4"/>
            <w:vMerge w:val="continue"/>
            <w:tcBorders>
              <w:left w:val="single" w:color="auto" w:sz="4" w:space="0"/>
            </w:tcBorders>
            <w:vAlign w:val="center"/>
          </w:tcPr>
          <w:p/>
        </w:tc>
        <w:tc>
          <w:tcPr>
            <w:tcW w:w="2449" w:type="dxa"/>
            <w:gridSpan w:val="5"/>
            <w:vMerge w:val="continue"/>
            <w:vAlign w:val="center"/>
          </w:tcPr>
          <w:p/>
        </w:tc>
        <w:tc>
          <w:tcPr>
            <w:tcW w:w="1647" w:type="dxa"/>
            <w:gridSpan w:val="6"/>
            <w:vAlign w:val="center"/>
          </w:tcPr>
          <w:p>
            <w:r>
              <w:rPr>
                <w:rFonts w:hint="eastAsia"/>
              </w:rPr>
              <w:t>已复垦</w:t>
            </w:r>
          </w:p>
        </w:tc>
        <w:tc>
          <w:tcPr>
            <w:tcW w:w="1976" w:type="dxa"/>
            <w:gridSpan w:val="6"/>
            <w:vAlign w:val="center"/>
          </w:tcPr>
          <w:p>
            <w:r>
              <w:rPr>
                <w:rFonts w:hint="eastAsia"/>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18" w:type="dxa"/>
            <w:gridSpan w:val="4"/>
            <w:tcBorders>
              <w:left w:val="single" w:color="auto" w:sz="4" w:space="0"/>
            </w:tcBorders>
            <w:vAlign w:val="center"/>
          </w:tcPr>
          <w:p>
            <w:r>
              <w:rPr>
                <w:rFonts w:hint="eastAsia"/>
              </w:rPr>
              <w:t>耕地</w:t>
            </w:r>
          </w:p>
        </w:tc>
        <w:tc>
          <w:tcPr>
            <w:tcW w:w="2449" w:type="dxa"/>
            <w:gridSpan w:val="5"/>
            <w:vAlign w:val="center"/>
          </w:tcPr>
          <w:p>
            <w:r>
              <w:rPr>
                <w:rFonts w:hint="eastAsia"/>
              </w:rPr>
              <w:t>旱地</w:t>
            </w:r>
          </w:p>
        </w:tc>
        <w:tc>
          <w:tcPr>
            <w:tcW w:w="1647" w:type="dxa"/>
            <w:gridSpan w:val="6"/>
            <w:vAlign w:val="center"/>
          </w:tcPr>
          <w:p>
            <w:r>
              <w:rPr>
                <w:rFonts w:hint="eastAsia"/>
              </w:rPr>
              <w:t>0.00</w:t>
            </w:r>
          </w:p>
        </w:tc>
        <w:tc>
          <w:tcPr>
            <w:tcW w:w="1976" w:type="dxa"/>
            <w:gridSpan w:val="6"/>
            <w:vAlign w:val="center"/>
          </w:tcPr>
          <w:p>
            <w:r>
              <w:rPr>
                <w:rFonts w:hint="eastAsia"/>
              </w:rPr>
              <w:t>5.2105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918" w:type="dxa"/>
            <w:gridSpan w:val="4"/>
            <w:tcBorders>
              <w:left w:val="single" w:color="auto" w:sz="4" w:space="0"/>
            </w:tcBorders>
            <w:vAlign w:val="center"/>
          </w:tcPr>
          <w:p>
            <w:r>
              <w:rPr>
                <w:rFonts w:hint="eastAsia"/>
              </w:rPr>
              <w:t>林地</w:t>
            </w:r>
          </w:p>
        </w:tc>
        <w:tc>
          <w:tcPr>
            <w:tcW w:w="2449" w:type="dxa"/>
            <w:gridSpan w:val="5"/>
            <w:vAlign w:val="center"/>
          </w:tcPr>
          <w:p>
            <w:r>
              <w:rPr>
                <w:rFonts w:hint="eastAsia"/>
              </w:rPr>
              <w:t>乔木林地</w:t>
            </w:r>
          </w:p>
        </w:tc>
        <w:tc>
          <w:tcPr>
            <w:tcW w:w="1647" w:type="dxa"/>
            <w:gridSpan w:val="6"/>
            <w:vAlign w:val="center"/>
          </w:tcPr>
          <w:p>
            <w:r>
              <w:rPr>
                <w:rFonts w:hint="eastAsia"/>
              </w:rPr>
              <w:t>0.00</w:t>
            </w:r>
          </w:p>
        </w:tc>
        <w:tc>
          <w:tcPr>
            <w:tcW w:w="1976" w:type="dxa"/>
            <w:gridSpan w:val="6"/>
            <w:vAlign w:val="center"/>
          </w:tcPr>
          <w:p>
            <w:r>
              <w:rPr>
                <w:rFonts w:hint="eastAsia"/>
              </w:rPr>
              <w:t>3.9190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4367" w:type="dxa"/>
            <w:gridSpan w:val="9"/>
            <w:tcBorders>
              <w:left w:val="single" w:color="auto" w:sz="4" w:space="0"/>
            </w:tcBorders>
            <w:vAlign w:val="center"/>
          </w:tcPr>
          <w:p>
            <w:r>
              <w:rPr>
                <w:rFonts w:hint="eastAsia"/>
              </w:rPr>
              <w:t>合计</w:t>
            </w:r>
          </w:p>
        </w:tc>
        <w:tc>
          <w:tcPr>
            <w:tcW w:w="1647" w:type="dxa"/>
            <w:gridSpan w:val="6"/>
            <w:vAlign w:val="center"/>
          </w:tcPr>
          <w:p>
            <w:r>
              <w:rPr>
                <w:rFonts w:hint="eastAsia"/>
              </w:rPr>
              <w:t>0.00</w:t>
            </w:r>
          </w:p>
        </w:tc>
        <w:tc>
          <w:tcPr>
            <w:tcW w:w="1976" w:type="dxa"/>
            <w:gridSpan w:val="6"/>
            <w:vAlign w:val="center"/>
          </w:tcPr>
          <w:p>
            <w:r>
              <w:rPr>
                <w:rFonts w:hint="eastAsia"/>
              </w:rPr>
              <w:t>9.1295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4367" w:type="dxa"/>
            <w:gridSpan w:val="9"/>
            <w:vMerge w:val="restart"/>
            <w:tcBorders>
              <w:left w:val="single" w:color="auto" w:sz="4" w:space="0"/>
            </w:tcBorders>
            <w:vAlign w:val="center"/>
          </w:tcPr>
          <w:p>
            <w:r>
              <w:rPr>
                <w:rFonts w:hint="eastAsia"/>
              </w:rPr>
              <w:t>土地复垦率</w:t>
            </w:r>
          </w:p>
        </w:tc>
        <w:tc>
          <w:tcPr>
            <w:tcW w:w="1647" w:type="dxa"/>
            <w:gridSpan w:val="6"/>
            <w:vAlign w:val="center"/>
          </w:tcPr>
          <w:p>
            <w:r>
              <w:rPr>
                <w:rFonts w:hint="eastAsia"/>
              </w:rPr>
              <w:t>复垦面积</w:t>
            </w:r>
          </w:p>
        </w:tc>
        <w:tc>
          <w:tcPr>
            <w:tcW w:w="1976" w:type="dxa"/>
            <w:gridSpan w:val="6"/>
            <w:vAlign w:val="center"/>
          </w:tcPr>
          <w:p>
            <w:r>
              <w:rPr>
                <w:rFonts w:hint="eastAsia"/>
              </w:rPr>
              <w:t>比例（</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4367" w:type="dxa"/>
            <w:gridSpan w:val="9"/>
            <w:vMerge w:val="continue"/>
            <w:tcBorders>
              <w:left w:val="single" w:color="auto" w:sz="4" w:space="0"/>
            </w:tcBorders>
            <w:vAlign w:val="center"/>
          </w:tcPr>
          <w:p/>
        </w:tc>
        <w:tc>
          <w:tcPr>
            <w:tcW w:w="1647" w:type="dxa"/>
            <w:gridSpan w:val="6"/>
            <w:vAlign w:val="center"/>
          </w:tcPr>
          <w:p>
            <w:r>
              <w:rPr>
                <w:rFonts w:hint="eastAsia"/>
              </w:rPr>
              <w:t>9.1295</w:t>
            </w:r>
          </w:p>
        </w:tc>
        <w:tc>
          <w:tcPr>
            <w:tcW w:w="1976" w:type="dxa"/>
            <w:gridSpan w:val="6"/>
            <w:vAlign w:val="center"/>
          </w:tcPr>
          <w:p>
            <w:r>
              <w:rPr>
                <w:rFonts w:hint="eastAsia"/>
              </w:rPr>
              <w:t>94</w:t>
            </w:r>
          </w:p>
        </w:tc>
      </w:tr>
    </w:tbl>
    <w:p/>
    <w:tbl>
      <w:tblPr>
        <w:tblStyle w:val="2"/>
        <w:tblpPr w:leftFromText="180" w:rightFromText="180" w:vertAnchor="text" w:horzAnchor="margin" w:tblpY="-11349"/>
        <w:tblOverlap w:val="never"/>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27"/>
        <w:gridCol w:w="421"/>
        <w:gridCol w:w="403"/>
        <w:gridCol w:w="709"/>
        <w:gridCol w:w="27"/>
        <w:gridCol w:w="1631"/>
        <w:gridCol w:w="1755"/>
        <w:gridCol w:w="1170"/>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116" w:type="pct"/>
            <w:gridSpan w:val="10"/>
            <w:tcBorders>
              <w:top w:val="nil"/>
              <w:left w:val="nil"/>
              <w:bottom w:val="single" w:color="auto" w:sz="4" w:space="0"/>
              <w:right w:val="nil"/>
            </w:tcBorders>
            <w:vAlign w:val="center"/>
          </w:tcPr>
          <w:p/>
          <w:p/>
          <w:p/>
          <w:p>
            <w:r>
              <w:rPr>
                <w:rFonts w:hint="eastAsia"/>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509" w:type="pct"/>
            <w:gridSpan w:val="3"/>
            <w:tcBorders>
              <w:top w:val="single" w:color="auto" w:sz="4" w:space="0"/>
            </w:tcBorders>
            <w:tcMar>
              <w:left w:w="28" w:type="dxa"/>
              <w:right w:w="28" w:type="dxa"/>
            </w:tcMar>
            <w:vAlign w:val="center"/>
          </w:tcPr>
          <w:p>
            <w:r>
              <w:rPr>
                <w:rFonts w:hint="eastAsia"/>
              </w:rPr>
              <w:t>治理分区</w:t>
            </w:r>
          </w:p>
        </w:tc>
        <w:tc>
          <w:tcPr>
            <w:tcW w:w="618" w:type="pct"/>
            <w:gridSpan w:val="2"/>
            <w:tcBorders>
              <w:top w:val="single" w:color="auto" w:sz="4" w:space="0"/>
            </w:tcBorders>
            <w:vAlign w:val="center"/>
          </w:tcPr>
          <w:p>
            <w:r>
              <w:rPr>
                <w:rFonts w:hint="eastAsia"/>
              </w:rPr>
              <w:t>治理对象</w:t>
            </w:r>
          </w:p>
        </w:tc>
        <w:tc>
          <w:tcPr>
            <w:tcW w:w="921" w:type="pct"/>
            <w:gridSpan w:val="2"/>
            <w:tcBorders>
              <w:top w:val="single" w:color="auto" w:sz="4" w:space="0"/>
            </w:tcBorders>
            <w:vAlign w:val="center"/>
          </w:tcPr>
          <w:p>
            <w:r>
              <w:rPr>
                <w:rFonts w:hint="eastAsia"/>
              </w:rPr>
              <w:t>工程措施</w:t>
            </w:r>
          </w:p>
        </w:tc>
        <w:tc>
          <w:tcPr>
            <w:tcW w:w="975" w:type="pct"/>
            <w:tcBorders>
              <w:top w:val="single" w:color="auto" w:sz="4" w:space="0"/>
            </w:tcBorders>
            <w:vAlign w:val="center"/>
          </w:tcPr>
          <w:p>
            <w:r>
              <w:rPr>
                <w:rFonts w:hint="eastAsia"/>
              </w:rPr>
              <w:t>工程项目</w:t>
            </w:r>
          </w:p>
        </w:tc>
        <w:tc>
          <w:tcPr>
            <w:tcW w:w="650" w:type="pct"/>
            <w:tcBorders>
              <w:top w:val="single" w:color="auto" w:sz="4" w:space="0"/>
            </w:tcBorders>
            <w:vAlign w:val="center"/>
          </w:tcPr>
          <w:p>
            <w:r>
              <w:rPr>
                <w:rFonts w:hint="eastAsia"/>
              </w:rPr>
              <w:t>单位</w:t>
            </w:r>
          </w:p>
        </w:tc>
        <w:tc>
          <w:tcPr>
            <w:tcW w:w="1443" w:type="pct"/>
            <w:tcBorders>
              <w:top w:val="single" w:color="auto" w:sz="4" w:space="0"/>
            </w:tcBorders>
            <w:vAlign w:val="center"/>
          </w:tcPr>
          <w:p>
            <w:r>
              <w:rPr>
                <w:rFonts w:hint="eastAsia"/>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restart"/>
            <w:vAlign w:val="center"/>
          </w:tcPr>
          <w:p>
            <w:r>
              <w:rPr>
                <w:rFonts w:hint="eastAsia"/>
              </w:rPr>
              <w:t>重点防治区</w:t>
            </w:r>
          </w:p>
        </w:tc>
        <w:tc>
          <w:tcPr>
            <w:tcW w:w="618" w:type="pct"/>
            <w:gridSpan w:val="2"/>
            <w:vMerge w:val="restart"/>
            <w:vAlign w:val="center"/>
          </w:tcPr>
          <w:p>
            <w:r>
              <w:rPr>
                <w:rFonts w:hint="eastAsia"/>
              </w:rPr>
              <w:t>边坡防治</w:t>
            </w:r>
          </w:p>
        </w:tc>
        <w:tc>
          <w:tcPr>
            <w:tcW w:w="921" w:type="pct"/>
            <w:gridSpan w:val="2"/>
            <w:vAlign w:val="center"/>
          </w:tcPr>
          <w:p>
            <w:r>
              <w:rPr>
                <w:rFonts w:hint="eastAsia"/>
              </w:rPr>
              <w:t>陡坡削坡、清理</w:t>
            </w:r>
          </w:p>
        </w:tc>
        <w:tc>
          <w:tcPr>
            <w:tcW w:w="975" w:type="pct"/>
            <w:vAlign w:val="center"/>
          </w:tcPr>
          <w:p>
            <w:r>
              <w:rPr>
                <w:rFonts w:hint="eastAsia"/>
              </w:rPr>
              <w:t>清理浮石等</w:t>
            </w:r>
          </w:p>
        </w:tc>
        <w:tc>
          <w:tcPr>
            <w:tcW w:w="650" w:type="pct"/>
            <w:vAlign w:val="center"/>
          </w:tcPr>
          <w:p>
            <w:r>
              <w:t>m3</w:t>
            </w:r>
          </w:p>
        </w:tc>
        <w:tc>
          <w:tcPr>
            <w:tcW w:w="1443" w:type="pct"/>
            <w:vAlign w:val="center"/>
          </w:tcPr>
          <w:p>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Align w:val="center"/>
          </w:tcPr>
          <w:p>
            <w:r>
              <w:rPr>
                <w:rFonts w:hint="eastAsia"/>
              </w:rPr>
              <w:t>排土场</w:t>
            </w:r>
          </w:p>
        </w:tc>
        <w:tc>
          <w:tcPr>
            <w:tcW w:w="975" w:type="pct"/>
            <w:vAlign w:val="center"/>
          </w:tcPr>
          <w:p>
            <w:r>
              <w:rPr>
                <w:rFonts w:hint="eastAsia"/>
              </w:rPr>
              <w:t>挡土墙</w:t>
            </w:r>
          </w:p>
        </w:tc>
        <w:tc>
          <w:tcPr>
            <w:tcW w:w="650" w:type="pct"/>
            <w:vAlign w:val="center"/>
          </w:tcPr>
          <w:p>
            <w:r>
              <w:rPr>
                <w:rFonts w:hint="eastAsia"/>
              </w:rPr>
              <w:t>m</w:t>
            </w:r>
          </w:p>
        </w:tc>
        <w:tc>
          <w:tcPr>
            <w:tcW w:w="1443" w:type="pct"/>
            <w:vAlign w:val="center"/>
          </w:tcPr>
          <w:p>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restart"/>
            <w:vAlign w:val="center"/>
          </w:tcPr>
          <w:p>
            <w:r>
              <w:rPr>
                <w:rFonts w:hint="eastAsia"/>
              </w:rPr>
              <w:t>截、排水沟</w:t>
            </w:r>
          </w:p>
        </w:tc>
        <w:tc>
          <w:tcPr>
            <w:tcW w:w="975" w:type="pct"/>
            <w:vAlign w:val="center"/>
          </w:tcPr>
          <w:p>
            <w:r>
              <w:rPr>
                <w:rFonts w:hint="eastAsia"/>
              </w:rPr>
              <w:t>排水沟工程</w:t>
            </w:r>
          </w:p>
        </w:tc>
        <w:tc>
          <w:tcPr>
            <w:tcW w:w="650" w:type="pct"/>
            <w:vAlign w:val="center"/>
          </w:tcPr>
          <w:p>
            <w:r>
              <w:rPr>
                <w:rFonts w:hint="eastAsia"/>
              </w:rPr>
              <w:t>m</w:t>
            </w:r>
          </w:p>
        </w:tc>
        <w:tc>
          <w:tcPr>
            <w:tcW w:w="1443" w:type="pct"/>
            <w:vAlign w:val="center"/>
          </w:tcPr>
          <w:p>
            <w:r>
              <w:rPr>
                <w:rFonts w:hint="eastAsia"/>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continue"/>
            <w:vAlign w:val="center"/>
          </w:tcPr>
          <w:p/>
        </w:tc>
        <w:tc>
          <w:tcPr>
            <w:tcW w:w="975" w:type="pct"/>
            <w:vAlign w:val="center"/>
          </w:tcPr>
          <w:p>
            <w:r>
              <w:rPr>
                <w:rFonts w:hint="eastAsia"/>
              </w:rPr>
              <w:t>土方工程</w:t>
            </w:r>
          </w:p>
        </w:tc>
        <w:tc>
          <w:tcPr>
            <w:tcW w:w="650" w:type="pct"/>
            <w:vAlign w:val="center"/>
          </w:tcPr>
          <w:p>
            <w:r>
              <w:t>m3</w:t>
            </w:r>
          </w:p>
        </w:tc>
        <w:tc>
          <w:tcPr>
            <w:tcW w:w="1443" w:type="pct"/>
            <w:vAlign w:val="center"/>
          </w:tcPr>
          <w:p>
            <w:r>
              <w:rPr>
                <w:rFonts w:hint="eastAsi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continue"/>
            <w:vAlign w:val="center"/>
          </w:tcPr>
          <w:p/>
        </w:tc>
        <w:tc>
          <w:tcPr>
            <w:tcW w:w="975" w:type="pct"/>
            <w:vAlign w:val="center"/>
          </w:tcPr>
          <w:p>
            <w:r>
              <w:rPr>
                <w:rFonts w:hint="eastAsia"/>
              </w:rPr>
              <w:t>石方工程</w:t>
            </w:r>
          </w:p>
        </w:tc>
        <w:tc>
          <w:tcPr>
            <w:tcW w:w="650" w:type="pct"/>
            <w:vAlign w:val="center"/>
          </w:tcPr>
          <w:p>
            <w:r>
              <w:t>m3</w:t>
            </w:r>
          </w:p>
        </w:tc>
        <w:tc>
          <w:tcPr>
            <w:tcW w:w="1443" w:type="pct"/>
            <w:vAlign w:val="center"/>
          </w:tcPr>
          <w:p>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continue"/>
            <w:vAlign w:val="center"/>
          </w:tcPr>
          <w:p/>
        </w:tc>
        <w:tc>
          <w:tcPr>
            <w:tcW w:w="975" w:type="pct"/>
            <w:vAlign w:val="center"/>
          </w:tcPr>
          <w:p>
            <w:r>
              <w:rPr>
                <w:rFonts w:hint="eastAsia"/>
              </w:rPr>
              <w:t>M7.5浆砌</w:t>
            </w:r>
          </w:p>
        </w:tc>
        <w:tc>
          <w:tcPr>
            <w:tcW w:w="650" w:type="pct"/>
            <w:vAlign w:val="center"/>
          </w:tcPr>
          <w:p>
            <w:r>
              <w:t>m3</w:t>
            </w:r>
          </w:p>
        </w:tc>
        <w:tc>
          <w:tcPr>
            <w:tcW w:w="1443" w:type="pct"/>
            <w:vAlign w:val="center"/>
          </w:tcPr>
          <w:p>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continue"/>
            <w:vAlign w:val="center"/>
          </w:tcPr>
          <w:p/>
        </w:tc>
        <w:tc>
          <w:tcPr>
            <w:tcW w:w="975" w:type="pct"/>
            <w:vAlign w:val="center"/>
          </w:tcPr>
          <w:p>
            <w:r>
              <w:rPr>
                <w:rFonts w:hint="eastAsia"/>
              </w:rPr>
              <w:t>M10砂浆抹平面</w:t>
            </w:r>
          </w:p>
        </w:tc>
        <w:tc>
          <w:tcPr>
            <w:tcW w:w="650" w:type="pct"/>
            <w:vAlign w:val="center"/>
          </w:tcPr>
          <w:p>
            <w:r>
              <w:t>m2</w:t>
            </w:r>
          </w:p>
        </w:tc>
        <w:tc>
          <w:tcPr>
            <w:tcW w:w="1443" w:type="pct"/>
            <w:vAlign w:val="center"/>
          </w:tcPr>
          <w:p>
            <w:r>
              <w:rPr>
                <w:rFonts w:hint="eastAsia"/>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618" w:type="pct"/>
            <w:gridSpan w:val="2"/>
            <w:vMerge w:val="continue"/>
            <w:vAlign w:val="center"/>
          </w:tcPr>
          <w:p/>
        </w:tc>
        <w:tc>
          <w:tcPr>
            <w:tcW w:w="921" w:type="pct"/>
            <w:gridSpan w:val="2"/>
            <w:vMerge w:val="continue"/>
            <w:vAlign w:val="center"/>
          </w:tcPr>
          <w:p/>
        </w:tc>
        <w:tc>
          <w:tcPr>
            <w:tcW w:w="975" w:type="pct"/>
            <w:vAlign w:val="center"/>
          </w:tcPr>
          <w:p>
            <w:r>
              <w:rPr>
                <w:rFonts w:hint="eastAsia"/>
              </w:rPr>
              <w:t>M10砂浆抹立面</w:t>
            </w:r>
          </w:p>
        </w:tc>
        <w:tc>
          <w:tcPr>
            <w:tcW w:w="650" w:type="pct"/>
            <w:vAlign w:val="center"/>
          </w:tcPr>
          <w:p>
            <w:r>
              <w:t>m2</w:t>
            </w:r>
          </w:p>
        </w:tc>
        <w:tc>
          <w:tcPr>
            <w:tcW w:w="1443" w:type="pct"/>
            <w:vAlign w:val="center"/>
          </w:tcPr>
          <w:p>
            <w:r>
              <w:rPr>
                <w:rFonts w:hint="eastAsia"/>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1539" w:type="pct"/>
            <w:gridSpan w:val="4"/>
            <w:vAlign w:val="center"/>
          </w:tcPr>
          <w:p>
            <w:r>
              <w:rPr>
                <w:rFonts w:hint="eastAsia"/>
              </w:rPr>
              <w:t>警示工程</w:t>
            </w:r>
          </w:p>
        </w:tc>
        <w:tc>
          <w:tcPr>
            <w:tcW w:w="975" w:type="pct"/>
            <w:vAlign w:val="center"/>
          </w:tcPr>
          <w:p>
            <w:r>
              <w:rPr>
                <w:rFonts w:hint="eastAsia"/>
              </w:rPr>
              <w:t>警示牌</w:t>
            </w:r>
          </w:p>
        </w:tc>
        <w:tc>
          <w:tcPr>
            <w:tcW w:w="650" w:type="pct"/>
            <w:vAlign w:val="center"/>
          </w:tcPr>
          <w:p>
            <w:r>
              <w:rPr>
                <w:rFonts w:hint="eastAsia"/>
              </w:rPr>
              <w:t>块</w:t>
            </w:r>
          </w:p>
        </w:tc>
        <w:tc>
          <w:tcPr>
            <w:tcW w:w="1443" w:type="pct"/>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vAlign w:val="center"/>
          </w:tcPr>
          <w:p/>
        </w:tc>
        <w:tc>
          <w:tcPr>
            <w:tcW w:w="1539" w:type="pct"/>
            <w:gridSpan w:val="4"/>
            <w:vAlign w:val="center"/>
          </w:tcPr>
          <w:p>
            <w:r>
              <w:rPr>
                <w:rFonts w:hint="eastAsia"/>
              </w:rPr>
              <w:t>防护栏</w:t>
            </w:r>
          </w:p>
        </w:tc>
        <w:tc>
          <w:tcPr>
            <w:tcW w:w="975" w:type="pct"/>
            <w:vAlign w:val="center"/>
          </w:tcPr>
          <w:p>
            <w:r>
              <w:rPr>
                <w:rFonts w:hint="eastAsia"/>
              </w:rPr>
              <w:t>铁丝网</w:t>
            </w:r>
          </w:p>
        </w:tc>
        <w:tc>
          <w:tcPr>
            <w:tcW w:w="650" w:type="pct"/>
            <w:vAlign w:val="center"/>
          </w:tcPr>
          <w:p>
            <w:r>
              <w:t>m2</w:t>
            </w:r>
          </w:p>
        </w:tc>
        <w:tc>
          <w:tcPr>
            <w:tcW w:w="1443" w:type="pct"/>
            <w:vAlign w:val="center"/>
          </w:tcPr>
          <w:p>
            <w:r>
              <w:rPr>
                <w:rFonts w:hint="eastAsia"/>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9" w:type="pct"/>
            <w:gridSpan w:val="3"/>
            <w:vMerge w:val="continue"/>
            <w:tcMar>
              <w:left w:w="0" w:type="dxa"/>
              <w:right w:w="0" w:type="dxa"/>
            </w:tcMar>
            <w:vAlign w:val="center"/>
          </w:tcPr>
          <w:p/>
        </w:tc>
        <w:tc>
          <w:tcPr>
            <w:tcW w:w="1539" w:type="pct"/>
            <w:gridSpan w:val="4"/>
            <w:vAlign w:val="center"/>
          </w:tcPr>
          <w:p>
            <w:r>
              <w:rPr>
                <w:rFonts w:hint="eastAsia"/>
              </w:rPr>
              <w:t>监测管控</w:t>
            </w:r>
          </w:p>
        </w:tc>
        <w:tc>
          <w:tcPr>
            <w:tcW w:w="975" w:type="pct"/>
            <w:vAlign w:val="center"/>
          </w:tcPr>
          <w:p>
            <w:r>
              <w:rPr>
                <w:rFonts w:hint="eastAsia"/>
              </w:rPr>
              <w:t>边坡及植被</w:t>
            </w:r>
          </w:p>
        </w:tc>
        <w:tc>
          <w:tcPr>
            <w:tcW w:w="650" w:type="pct"/>
            <w:vAlign w:val="center"/>
          </w:tcPr>
          <w:p>
            <w:r>
              <w:rPr>
                <w:rFonts w:hint="eastAsia"/>
              </w:rPr>
              <w:t>个</w:t>
            </w:r>
          </w:p>
        </w:tc>
        <w:tc>
          <w:tcPr>
            <w:tcW w:w="1443" w:type="pct"/>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509" w:type="pct"/>
            <w:gridSpan w:val="3"/>
            <w:tcMar>
              <w:left w:w="28" w:type="dxa"/>
              <w:right w:w="28" w:type="dxa"/>
            </w:tcMar>
            <w:vAlign w:val="center"/>
          </w:tcPr>
          <w:p>
            <w:r>
              <w:rPr>
                <w:rFonts w:hint="eastAsia"/>
              </w:rPr>
              <w:t>投资估算</w:t>
            </w:r>
          </w:p>
        </w:tc>
        <w:tc>
          <w:tcPr>
            <w:tcW w:w="1539" w:type="pct"/>
            <w:gridSpan w:val="4"/>
            <w:vAlign w:val="center"/>
          </w:tcPr>
          <w:p>
            <w:r>
              <w:rPr>
                <w:rFonts w:hint="eastAsia"/>
              </w:rPr>
              <w:t>编制年限总费用概算（万元）</w:t>
            </w:r>
          </w:p>
        </w:tc>
        <w:tc>
          <w:tcPr>
            <w:tcW w:w="975" w:type="pct"/>
            <w:vAlign w:val="center"/>
          </w:tcPr>
          <w:p/>
        </w:tc>
        <w:tc>
          <w:tcPr>
            <w:tcW w:w="2093" w:type="pct"/>
            <w:gridSpan w:val="2"/>
            <w:vAlign w:val="center"/>
          </w:tcPr>
          <w:p>
            <w:r>
              <w:rPr>
                <w:rFonts w:hint="eastAsia"/>
              </w:rPr>
              <w:t>60.5706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5116" w:type="pct"/>
            <w:gridSpan w:val="10"/>
            <w:tcMar>
              <w:left w:w="28" w:type="dxa"/>
              <w:right w:w="28" w:type="dxa"/>
            </w:tcMar>
            <w:vAlign w:val="center"/>
          </w:tcPr>
          <w:p>
            <w:r>
              <w:rPr>
                <w:rFonts w:hint="eastAsia"/>
              </w:rPr>
              <w:t>矿山地质环境保护治理工程费用进度及分期预存表</w:t>
            </w:r>
          </w:p>
          <w:tbl>
            <w:tblPr>
              <w:tblStyle w:val="2"/>
              <w:tblW w:w="9154" w:type="dxa"/>
              <w:tblInd w:w="0" w:type="dxa"/>
              <w:tblLayout w:type="autofit"/>
              <w:tblCellMar>
                <w:top w:w="0" w:type="dxa"/>
                <w:left w:w="108" w:type="dxa"/>
                <w:bottom w:w="0" w:type="dxa"/>
                <w:right w:w="108" w:type="dxa"/>
              </w:tblCellMar>
            </w:tblPr>
            <w:tblGrid>
              <w:gridCol w:w="818"/>
              <w:gridCol w:w="1050"/>
              <w:gridCol w:w="2019"/>
              <w:gridCol w:w="1539"/>
              <w:gridCol w:w="2242"/>
              <w:gridCol w:w="1486"/>
            </w:tblGrid>
            <w:tr>
              <w:tblPrEx>
                <w:tblCellMar>
                  <w:top w:w="0" w:type="dxa"/>
                  <w:left w:w="108" w:type="dxa"/>
                  <w:bottom w:w="0" w:type="dxa"/>
                  <w:right w:w="108" w:type="dxa"/>
                </w:tblCellMar>
              </w:tblPrEx>
              <w:trPr>
                <w:trHeight w:val="207" w:hRule="exact"/>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阶段</w:t>
                  </w:r>
                </w:p>
              </w:tc>
              <w:tc>
                <w:tcPr>
                  <w:tcW w:w="1050" w:type="dxa"/>
                  <w:tcBorders>
                    <w:top w:val="single" w:color="auto" w:sz="4" w:space="0"/>
                    <w:left w:val="nil"/>
                    <w:bottom w:val="single" w:color="auto" w:sz="4" w:space="0"/>
                    <w:right w:val="single" w:color="auto" w:sz="4" w:space="0"/>
                  </w:tcBorders>
                  <w:shd w:val="clear" w:color="auto" w:fill="auto"/>
                  <w:vAlign w:val="center"/>
                </w:tcPr>
                <w:p>
                  <w:r>
                    <w:rPr>
                      <w:rFonts w:hint="eastAsia"/>
                    </w:rPr>
                    <w:t>年度</w:t>
                  </w:r>
                </w:p>
              </w:tc>
              <w:tc>
                <w:tcPr>
                  <w:tcW w:w="2019" w:type="dxa"/>
                  <w:tcBorders>
                    <w:top w:val="single" w:color="auto" w:sz="4" w:space="0"/>
                    <w:left w:val="nil"/>
                    <w:bottom w:val="single" w:color="auto" w:sz="4" w:space="0"/>
                    <w:right w:val="single" w:color="auto" w:sz="4" w:space="0"/>
                  </w:tcBorders>
                  <w:shd w:val="clear" w:color="auto" w:fill="auto"/>
                  <w:vAlign w:val="center"/>
                </w:tcPr>
                <w:p>
                  <w:r>
                    <w:rPr>
                      <w:rFonts w:hint="eastAsia"/>
                    </w:rPr>
                    <w:t>治理工程</w:t>
                  </w:r>
                </w:p>
              </w:tc>
              <w:tc>
                <w:tcPr>
                  <w:tcW w:w="1539" w:type="dxa"/>
                  <w:tcBorders>
                    <w:top w:val="single" w:color="auto" w:sz="4" w:space="0"/>
                    <w:left w:val="nil"/>
                    <w:bottom w:val="single" w:color="auto" w:sz="4" w:space="0"/>
                    <w:right w:val="single" w:color="auto" w:sz="4" w:space="0"/>
                  </w:tcBorders>
                  <w:shd w:val="clear" w:color="auto" w:fill="auto"/>
                  <w:vAlign w:val="center"/>
                </w:tcPr>
                <w:p>
                  <w:r>
                    <w:rPr>
                      <w:rFonts w:hint="eastAsia"/>
                    </w:rPr>
                    <w:t>费用进度（万元）</w:t>
                  </w:r>
                </w:p>
              </w:tc>
              <w:tc>
                <w:tcPr>
                  <w:tcW w:w="2242" w:type="dxa"/>
                  <w:tcBorders>
                    <w:top w:val="single" w:color="auto" w:sz="4" w:space="0"/>
                    <w:left w:val="nil"/>
                    <w:bottom w:val="single" w:color="auto" w:sz="4" w:space="0"/>
                    <w:right w:val="single" w:color="auto" w:sz="4" w:space="0"/>
                  </w:tcBorders>
                  <w:shd w:val="clear" w:color="auto" w:fill="auto"/>
                  <w:vAlign w:val="center"/>
                </w:tcPr>
                <w:p>
                  <w:r>
                    <w:rPr>
                      <w:rFonts w:hint="eastAsia"/>
                    </w:rPr>
                    <w:t>预存日期</w:t>
                  </w:r>
                </w:p>
              </w:tc>
              <w:tc>
                <w:tcPr>
                  <w:tcW w:w="1486" w:type="dxa"/>
                  <w:tcBorders>
                    <w:top w:val="single" w:color="auto" w:sz="4" w:space="0"/>
                    <w:left w:val="nil"/>
                    <w:bottom w:val="single" w:color="auto" w:sz="4" w:space="0"/>
                    <w:right w:val="single" w:color="auto" w:sz="4" w:space="0"/>
                  </w:tcBorders>
                  <w:shd w:val="clear" w:color="auto" w:fill="auto"/>
                  <w:vAlign w:val="center"/>
                </w:tcPr>
                <w:p>
                  <w:r>
                    <w:rPr>
                      <w:rFonts w:hint="eastAsia"/>
                    </w:rPr>
                    <w:t>预存额（万元）</w:t>
                  </w:r>
                </w:p>
              </w:tc>
            </w:tr>
            <w:tr>
              <w:tblPrEx>
                <w:tblCellMar>
                  <w:top w:w="0" w:type="dxa"/>
                  <w:left w:w="108" w:type="dxa"/>
                  <w:bottom w:w="0" w:type="dxa"/>
                  <w:right w:w="108" w:type="dxa"/>
                </w:tblCellMar>
              </w:tblPrEx>
              <w:trPr>
                <w:trHeight w:val="207" w:hRule="exact"/>
              </w:trPr>
              <w:tc>
                <w:tcPr>
                  <w:tcW w:w="818" w:type="dxa"/>
                  <w:vMerge w:val="restart"/>
                  <w:tcBorders>
                    <w:top w:val="nil"/>
                    <w:left w:val="single" w:color="auto" w:sz="4" w:space="0"/>
                    <w:bottom w:val="single" w:color="auto" w:sz="4" w:space="0"/>
                    <w:right w:val="single" w:color="auto" w:sz="4" w:space="0"/>
                  </w:tcBorders>
                  <w:shd w:val="clear" w:color="auto" w:fill="auto"/>
                  <w:vAlign w:val="center"/>
                </w:tcPr>
                <w:p>
                  <w:r>
                    <w:rPr>
                      <w:rFonts w:hint="eastAsia"/>
                    </w:rPr>
                    <w:t>第1　阶段</w:t>
                  </w:r>
                </w:p>
              </w:tc>
              <w:tc>
                <w:tcPr>
                  <w:tcW w:w="1050" w:type="dxa"/>
                  <w:tcBorders>
                    <w:top w:val="nil"/>
                    <w:left w:val="nil"/>
                    <w:bottom w:val="single" w:color="auto" w:sz="4" w:space="0"/>
                    <w:right w:val="single" w:color="auto" w:sz="4" w:space="0"/>
                  </w:tcBorders>
                  <w:shd w:val="clear" w:color="auto" w:fill="auto"/>
                  <w:vAlign w:val="center"/>
                </w:tcPr>
                <w:p>
                  <w:r>
                    <w:rPr>
                      <w:rFonts w:hint="eastAsia"/>
                    </w:rPr>
                    <w:t>第1年度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基础工程、监测地质灾害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12.12</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2023年12月31日前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12.12</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第2年度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基础工程、监测地质灾害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2024年12月31日前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4.85</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第3年度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基础工程、监测地质灾害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2025年12月31日前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4.85</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第4年度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基础工程、监测地质灾害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2026年12月31日前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4.85</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第5年度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监测周边地质灾害情况</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2027年12月31日前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4.85</w:t>
                  </w:r>
                </w:p>
              </w:tc>
            </w:tr>
            <w:tr>
              <w:tblPrEx>
                <w:tblCellMar>
                  <w:top w:w="0" w:type="dxa"/>
                  <w:left w:w="108" w:type="dxa"/>
                  <w:bottom w:w="0" w:type="dxa"/>
                  <w:right w:w="108" w:type="dxa"/>
                </w:tblCellMar>
              </w:tblPrEx>
              <w:trPr>
                <w:trHeight w:val="207" w:hRule="exact"/>
              </w:trPr>
              <w:tc>
                <w:tcPr>
                  <w:tcW w:w="818" w:type="dxa"/>
                  <w:vMerge w:val="restart"/>
                  <w:tcBorders>
                    <w:top w:val="nil"/>
                    <w:left w:val="single" w:color="auto" w:sz="4" w:space="0"/>
                    <w:bottom w:val="nil"/>
                    <w:right w:val="single" w:color="auto" w:sz="4" w:space="0"/>
                  </w:tcBorders>
                  <w:shd w:val="clear" w:color="auto" w:fill="auto"/>
                  <w:vAlign w:val="center"/>
                </w:tcPr>
                <w:p>
                  <w:r>
                    <w:rPr>
                      <w:rFonts w:hint="eastAsia"/>
                    </w:rPr>
                    <w:t>第2阶段</w:t>
                  </w:r>
                </w:p>
              </w:tc>
              <w:tc>
                <w:tcPr>
                  <w:tcW w:w="1050" w:type="dxa"/>
                  <w:tcBorders>
                    <w:top w:val="nil"/>
                    <w:left w:val="nil"/>
                    <w:bottom w:val="single" w:color="auto" w:sz="4" w:space="0"/>
                    <w:right w:val="single" w:color="auto" w:sz="4" w:space="0"/>
                  </w:tcBorders>
                  <w:shd w:val="clear" w:color="auto" w:fill="auto"/>
                  <w:vAlign w:val="center"/>
                </w:tcPr>
                <w:p>
                  <w:r>
                    <w:rPr>
                      <w:rFonts w:hint="eastAsia"/>
                    </w:rPr>
                    <w:t>第6年度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2028年12月31日前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4.85</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第7年度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2029年12月31日前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4.84</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第8年度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2030年12月31日前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4.84</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第9年度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3.4608</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2031年12月31日前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4.84</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第10年度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2032年12月31日前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4.84</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第11年度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single" w:color="auto" w:sz="8" w:space="0"/>
                    <w:right w:val="single" w:color="auto" w:sz="8" w:space="0"/>
                  </w:tcBorders>
                  <w:shd w:val="clear" w:color="auto" w:fill="auto"/>
                  <w:vAlign w:val="center"/>
                </w:tcPr>
                <w:p>
                  <w:r>
                    <w:rPr>
                      <w:rFonts w:hint="eastAsia"/>
                    </w:rPr>
                    <w:t>2033年12月31日前</w:t>
                  </w:r>
                </w:p>
              </w:tc>
              <w:tc>
                <w:tcPr>
                  <w:tcW w:w="1486" w:type="dxa"/>
                  <w:tcBorders>
                    <w:top w:val="nil"/>
                    <w:left w:val="single" w:color="auto" w:sz="4" w:space="0"/>
                    <w:bottom w:val="single" w:color="auto" w:sz="4" w:space="0"/>
                    <w:right w:val="single" w:color="auto" w:sz="4" w:space="0"/>
                  </w:tcBorders>
                  <w:shd w:val="clear" w:color="auto" w:fill="auto"/>
                  <w:vAlign w:val="center"/>
                </w:tcPr>
                <w:p>
                  <w:r>
                    <w:rPr>
                      <w:rFonts w:hint="eastAsia"/>
                    </w:rPr>
                    <w:t>4.8406</w:t>
                  </w:r>
                </w:p>
              </w:tc>
            </w:tr>
            <w:tr>
              <w:tblPrEx>
                <w:tblCellMar>
                  <w:top w:w="0" w:type="dxa"/>
                  <w:left w:w="108" w:type="dxa"/>
                  <w:bottom w:w="0" w:type="dxa"/>
                  <w:right w:w="108" w:type="dxa"/>
                </w:tblCellMar>
              </w:tblPrEx>
              <w:trPr>
                <w:trHeight w:val="207" w:hRule="exact"/>
              </w:trPr>
              <w:tc>
                <w:tcPr>
                  <w:tcW w:w="818" w:type="dxa"/>
                  <w:vMerge w:val="continue"/>
                  <w:tcBorders>
                    <w:top w:val="nil"/>
                    <w:left w:val="single" w:color="auto" w:sz="4" w:space="0"/>
                    <w:bottom w:val="nil"/>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第12年度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nil"/>
                    <w:right w:val="nil"/>
                  </w:tcBorders>
                  <w:shd w:val="clear" w:color="auto" w:fill="auto"/>
                  <w:vAlign w:val="center"/>
                </w:tcPr>
                <w:p/>
              </w:tc>
              <w:tc>
                <w:tcPr>
                  <w:tcW w:w="1486" w:type="dxa"/>
                  <w:tcBorders>
                    <w:top w:val="nil"/>
                    <w:left w:val="single" w:color="auto" w:sz="4" w:space="0"/>
                    <w:bottom w:val="nil"/>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07" w:hRule="exact"/>
              </w:trPr>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第3阶段</w:t>
                  </w:r>
                </w:p>
              </w:tc>
              <w:tc>
                <w:tcPr>
                  <w:tcW w:w="1050" w:type="dxa"/>
                  <w:tcBorders>
                    <w:top w:val="nil"/>
                    <w:left w:val="nil"/>
                    <w:bottom w:val="single" w:color="auto" w:sz="4" w:space="0"/>
                    <w:right w:val="single" w:color="auto" w:sz="4" w:space="0"/>
                  </w:tcBorders>
                  <w:shd w:val="clear" w:color="auto" w:fill="auto"/>
                  <w:vAlign w:val="center"/>
                </w:tcPr>
                <w:p>
                  <w:r>
                    <w:rPr>
                      <w:rFonts w:hint="eastAsia"/>
                    </w:rPr>
                    <w:t>第13年度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nil"/>
                    <w:right w:val="single" w:color="auto" w:sz="4" w:space="0"/>
                  </w:tcBorders>
                  <w:shd w:val="clear" w:color="auto" w:fill="auto"/>
                  <w:vAlign w:val="center"/>
                </w:tcPr>
                <w:p>
                  <w:r>
                    <w:rPr>
                      <w:rFonts w:hint="eastAsia"/>
                    </w:rPr>
                    <w:t>　</w:t>
                  </w:r>
                </w:p>
              </w:tc>
              <w:tc>
                <w:tcPr>
                  <w:tcW w:w="1486" w:type="dxa"/>
                  <w:tcBorders>
                    <w:top w:val="nil"/>
                    <w:left w:val="nil"/>
                    <w:bottom w:val="nil"/>
                    <w:right w:val="single" w:color="auto" w:sz="4" w:space="0"/>
                  </w:tcBorders>
                  <w:shd w:val="clear" w:color="auto" w:fill="auto"/>
                  <w:vAlign w:val="center"/>
                </w:tcPr>
                <w:p>
                  <w:r>
                    <w:t>　</w:t>
                  </w:r>
                </w:p>
              </w:tc>
            </w:tr>
            <w:tr>
              <w:tblPrEx>
                <w:tblCellMar>
                  <w:top w:w="0" w:type="dxa"/>
                  <w:left w:w="108" w:type="dxa"/>
                  <w:bottom w:w="0" w:type="dxa"/>
                  <w:right w:w="108" w:type="dxa"/>
                </w:tblCellMar>
              </w:tblPrEx>
              <w:trPr>
                <w:trHeight w:val="207" w:hRule="exact"/>
              </w:trPr>
              <w:tc>
                <w:tcPr>
                  <w:tcW w:w="818" w:type="dxa"/>
                  <w:vMerge w:val="continue"/>
                  <w:tcBorders>
                    <w:top w:val="single" w:color="auto" w:sz="4" w:space="0"/>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第14年度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监测地质灾害</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nil"/>
                    <w:right w:val="single" w:color="auto" w:sz="4" w:space="0"/>
                  </w:tcBorders>
                  <w:shd w:val="clear" w:color="auto" w:fill="auto"/>
                  <w:vAlign w:val="center"/>
                </w:tcPr>
                <w:p>
                  <w:r>
                    <w:rPr>
                      <w:rFonts w:hint="eastAsia"/>
                    </w:rPr>
                    <w:t>　</w:t>
                  </w:r>
                </w:p>
              </w:tc>
              <w:tc>
                <w:tcPr>
                  <w:tcW w:w="1486" w:type="dxa"/>
                  <w:tcBorders>
                    <w:top w:val="nil"/>
                    <w:left w:val="nil"/>
                    <w:bottom w:val="nil"/>
                    <w:right w:val="single" w:color="auto" w:sz="4" w:space="0"/>
                  </w:tcBorders>
                  <w:shd w:val="clear" w:color="auto" w:fill="auto"/>
                  <w:vAlign w:val="center"/>
                </w:tcPr>
                <w:p>
                  <w:r>
                    <w:t>　</w:t>
                  </w:r>
                </w:p>
              </w:tc>
            </w:tr>
            <w:tr>
              <w:tblPrEx>
                <w:tblCellMar>
                  <w:top w:w="0" w:type="dxa"/>
                  <w:left w:w="108" w:type="dxa"/>
                  <w:bottom w:w="0" w:type="dxa"/>
                  <w:right w:w="108" w:type="dxa"/>
                </w:tblCellMar>
              </w:tblPrEx>
              <w:trPr>
                <w:trHeight w:val="207" w:hRule="exact"/>
              </w:trPr>
              <w:tc>
                <w:tcPr>
                  <w:tcW w:w="818" w:type="dxa"/>
                  <w:vMerge w:val="continue"/>
                  <w:tcBorders>
                    <w:top w:val="single" w:color="auto" w:sz="4" w:space="0"/>
                    <w:left w:val="single" w:color="auto" w:sz="4" w:space="0"/>
                    <w:bottom w:val="single" w:color="auto" w:sz="4" w:space="0"/>
                    <w:right w:val="single" w:color="auto" w:sz="4" w:space="0"/>
                  </w:tcBorders>
                  <w:vAlign w:val="center"/>
                </w:tcPr>
                <w:p/>
              </w:tc>
              <w:tc>
                <w:tcPr>
                  <w:tcW w:w="1050" w:type="dxa"/>
                  <w:tcBorders>
                    <w:top w:val="nil"/>
                    <w:left w:val="nil"/>
                    <w:bottom w:val="single" w:color="auto" w:sz="4" w:space="0"/>
                    <w:right w:val="single" w:color="auto" w:sz="4" w:space="0"/>
                  </w:tcBorders>
                  <w:shd w:val="clear" w:color="auto" w:fill="auto"/>
                  <w:vAlign w:val="center"/>
                </w:tcPr>
                <w:p>
                  <w:r>
                    <w:rPr>
                      <w:rFonts w:hint="eastAsia"/>
                    </w:rPr>
                    <w:t>第15年度</w:t>
                  </w:r>
                </w:p>
              </w:tc>
              <w:tc>
                <w:tcPr>
                  <w:tcW w:w="2019" w:type="dxa"/>
                  <w:tcBorders>
                    <w:top w:val="nil"/>
                    <w:left w:val="nil"/>
                    <w:bottom w:val="single" w:color="auto" w:sz="4" w:space="0"/>
                    <w:right w:val="single" w:color="auto" w:sz="4" w:space="0"/>
                  </w:tcBorders>
                  <w:shd w:val="clear" w:color="auto" w:fill="auto"/>
                  <w:vAlign w:val="center"/>
                </w:tcPr>
                <w:p>
                  <w:r>
                    <w:rPr>
                      <w:rFonts w:hint="eastAsia"/>
                    </w:rPr>
                    <w:t>监测周边地质灾害情况、复垦为林地</w:t>
                  </w:r>
                </w:p>
              </w:tc>
              <w:tc>
                <w:tcPr>
                  <w:tcW w:w="1539" w:type="dxa"/>
                  <w:tcBorders>
                    <w:top w:val="nil"/>
                    <w:left w:val="nil"/>
                    <w:bottom w:val="single" w:color="auto" w:sz="4" w:space="0"/>
                    <w:right w:val="single" w:color="auto" w:sz="4" w:space="0"/>
                  </w:tcBorders>
                  <w:shd w:val="clear" w:color="auto" w:fill="auto"/>
                  <w:vAlign w:val="center"/>
                </w:tcPr>
                <w:p>
                  <w:r>
                    <w:rPr>
                      <w:rFonts w:hint="eastAsia"/>
                    </w:rPr>
                    <w:t>3.4607</w:t>
                  </w:r>
                </w:p>
              </w:tc>
              <w:tc>
                <w:tcPr>
                  <w:tcW w:w="2242" w:type="dxa"/>
                  <w:tcBorders>
                    <w:top w:val="nil"/>
                    <w:left w:val="nil"/>
                    <w:bottom w:val="single" w:color="auto" w:sz="4" w:space="0"/>
                    <w:right w:val="single" w:color="auto" w:sz="4" w:space="0"/>
                  </w:tcBorders>
                  <w:shd w:val="clear" w:color="auto" w:fill="auto"/>
                  <w:vAlign w:val="center"/>
                </w:tcPr>
                <w:p>
                  <w:r>
                    <w:rPr>
                      <w:rFonts w:hint="eastAsia"/>
                    </w:rPr>
                    <w:t>　</w:t>
                  </w:r>
                </w:p>
              </w:tc>
              <w:tc>
                <w:tcPr>
                  <w:tcW w:w="1486" w:type="dxa"/>
                  <w:tcBorders>
                    <w:top w:val="nil"/>
                    <w:left w:val="nil"/>
                    <w:bottom w:val="single" w:color="auto" w:sz="4" w:space="0"/>
                    <w:right w:val="single" w:color="auto" w:sz="4" w:space="0"/>
                  </w:tcBorders>
                  <w:shd w:val="clear" w:color="auto" w:fill="auto"/>
                  <w:vAlign w:val="center"/>
                </w:tcPr>
                <w:p>
                  <w:r>
                    <w:t>　</w:t>
                  </w:r>
                </w:p>
              </w:tc>
            </w:tr>
            <w:tr>
              <w:tblPrEx>
                <w:tblCellMar>
                  <w:top w:w="0" w:type="dxa"/>
                  <w:left w:w="108" w:type="dxa"/>
                  <w:bottom w:w="0" w:type="dxa"/>
                  <w:right w:w="108" w:type="dxa"/>
                </w:tblCellMar>
              </w:tblPrEx>
              <w:trPr>
                <w:trHeight w:val="207" w:hRule="exact"/>
              </w:trPr>
              <w:tc>
                <w:tcPr>
                  <w:tcW w:w="818" w:type="dxa"/>
                  <w:tcBorders>
                    <w:top w:val="nil"/>
                    <w:left w:val="single" w:color="auto" w:sz="4" w:space="0"/>
                    <w:bottom w:val="single" w:color="auto" w:sz="4" w:space="0"/>
                    <w:right w:val="single" w:color="auto" w:sz="4" w:space="0"/>
                  </w:tcBorders>
                  <w:shd w:val="clear" w:color="auto" w:fill="auto"/>
                  <w:vAlign w:val="center"/>
                </w:tcPr>
                <w:p>
                  <w:r>
                    <w:rPr>
                      <w:rFonts w:hint="eastAsia"/>
                    </w:rPr>
                    <w:t>合计</w:t>
                  </w:r>
                </w:p>
              </w:tc>
              <w:tc>
                <w:tcPr>
                  <w:tcW w:w="1050" w:type="dxa"/>
                  <w:tcBorders>
                    <w:top w:val="nil"/>
                    <w:left w:val="nil"/>
                    <w:bottom w:val="single" w:color="auto" w:sz="4" w:space="0"/>
                    <w:right w:val="single" w:color="auto" w:sz="4" w:space="0"/>
                  </w:tcBorders>
                  <w:shd w:val="clear" w:color="auto" w:fill="auto"/>
                  <w:vAlign w:val="center"/>
                </w:tcPr>
                <w:p>
                  <w:r>
                    <w:rPr>
                      <w:rFonts w:hint="eastAsia"/>
                    </w:rPr>
                    <w:t>-</w:t>
                  </w:r>
                </w:p>
              </w:tc>
              <w:tc>
                <w:tcPr>
                  <w:tcW w:w="2019" w:type="dxa"/>
                  <w:tcBorders>
                    <w:top w:val="nil"/>
                    <w:left w:val="nil"/>
                    <w:bottom w:val="single" w:color="auto" w:sz="4" w:space="0"/>
                    <w:right w:val="single" w:color="auto" w:sz="4" w:space="0"/>
                  </w:tcBorders>
                  <w:shd w:val="clear" w:color="auto" w:fill="auto"/>
                  <w:vAlign w:val="center"/>
                </w:tcPr>
                <w:p>
                  <w:r>
                    <w:rPr>
                      <w:rFonts w:hint="eastAsia"/>
                    </w:rPr>
                    <w:t>　</w:t>
                  </w:r>
                </w:p>
              </w:tc>
              <w:tc>
                <w:tcPr>
                  <w:tcW w:w="1539" w:type="dxa"/>
                  <w:tcBorders>
                    <w:top w:val="nil"/>
                    <w:left w:val="nil"/>
                    <w:bottom w:val="single" w:color="auto" w:sz="4" w:space="0"/>
                    <w:right w:val="single" w:color="auto" w:sz="4" w:space="0"/>
                  </w:tcBorders>
                  <w:shd w:val="clear" w:color="auto" w:fill="auto"/>
                  <w:vAlign w:val="center"/>
                </w:tcPr>
                <w:p>
                  <w:r>
                    <w:rPr>
                      <w:rFonts w:hint="eastAsia"/>
                    </w:rPr>
                    <w:t>60.5706</w:t>
                  </w:r>
                </w:p>
              </w:tc>
              <w:tc>
                <w:tcPr>
                  <w:tcW w:w="2242" w:type="dxa"/>
                  <w:tcBorders>
                    <w:top w:val="nil"/>
                    <w:left w:val="nil"/>
                    <w:bottom w:val="single" w:color="auto" w:sz="4" w:space="0"/>
                    <w:right w:val="single" w:color="auto" w:sz="4" w:space="0"/>
                  </w:tcBorders>
                  <w:shd w:val="clear" w:color="auto" w:fill="auto"/>
                  <w:vAlign w:val="center"/>
                </w:tcPr>
                <w:p>
                  <w:r>
                    <w:rPr>
                      <w:rFonts w:hint="eastAsia"/>
                    </w:rPr>
                    <w:t>　</w:t>
                  </w:r>
                </w:p>
              </w:tc>
              <w:tc>
                <w:tcPr>
                  <w:tcW w:w="1486" w:type="dxa"/>
                  <w:tcBorders>
                    <w:top w:val="nil"/>
                    <w:left w:val="nil"/>
                    <w:bottom w:val="single" w:color="auto" w:sz="4" w:space="0"/>
                    <w:right w:val="single" w:color="auto" w:sz="4" w:space="0"/>
                  </w:tcBorders>
                  <w:shd w:val="clear" w:color="auto" w:fill="auto"/>
                  <w:vAlign w:val="center"/>
                </w:tcPr>
                <w:p>
                  <w:r>
                    <w:rPr>
                      <w:rFonts w:hint="eastAsia"/>
                    </w:rPr>
                    <w:t>60.5706</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trPr>
        <w:tc>
          <w:tcPr>
            <w:tcW w:w="275" w:type="pct"/>
            <w:gridSpan w:val="2"/>
            <w:vMerge w:val="restart"/>
            <w:vAlign w:val="center"/>
          </w:tcPr>
          <w:p>
            <w:r>
              <w:rPr>
                <w:rFonts w:hint="eastAsia"/>
              </w:rPr>
              <w:t>复垦</w:t>
            </w:r>
          </w:p>
          <w:p>
            <w:r>
              <w:rPr>
                <w:rFonts w:hint="eastAsia"/>
              </w:rPr>
              <w:t>工作</w:t>
            </w:r>
          </w:p>
          <w:p>
            <w:r>
              <w:rPr>
                <w:rFonts w:hint="eastAsia"/>
              </w:rPr>
              <w:t>计划</w:t>
            </w:r>
          </w:p>
          <w:p>
            <w:r>
              <w:rPr>
                <w:rFonts w:hint="eastAsia"/>
              </w:rPr>
              <w:t>、保</w:t>
            </w:r>
          </w:p>
          <w:p>
            <w:r>
              <w:rPr>
                <w:rFonts w:hint="eastAsia"/>
              </w:rPr>
              <w:t>障措</w:t>
            </w:r>
          </w:p>
          <w:p>
            <w:r>
              <w:rPr>
                <w:rFonts w:hint="eastAsia"/>
              </w:rPr>
              <w:t>施和费用预存</w:t>
            </w:r>
          </w:p>
        </w:tc>
        <w:tc>
          <w:tcPr>
            <w:tcW w:w="458" w:type="pct"/>
            <w:gridSpan w:val="2"/>
            <w:vAlign w:val="center"/>
          </w:tcPr>
          <w:p>
            <w:r>
              <w:rPr>
                <w:rFonts w:hint="eastAsia"/>
              </w:rPr>
              <w:t>工作计划</w:t>
            </w:r>
          </w:p>
        </w:tc>
        <w:tc>
          <w:tcPr>
            <w:tcW w:w="4383" w:type="pct"/>
            <w:gridSpan w:val="6"/>
            <w:vAlign w:val="center"/>
          </w:tcPr>
          <w:p>
            <w:r>
              <w:rPr>
                <w:rFonts w:hint="eastAsia"/>
              </w:rPr>
              <w:t>本方案对项目区分三个阶段进行复垦，第一阶段为近期5年（</w:t>
            </w:r>
            <w:r>
              <w:t>20</w:t>
            </w:r>
            <w:r>
              <w:rPr>
                <w:rFonts w:hint="eastAsia"/>
              </w:rPr>
              <w:t>23</w:t>
            </w:r>
            <w:r>
              <w:t>年</w:t>
            </w:r>
            <w:r>
              <w:rPr>
                <w:rFonts w:hint="eastAsia"/>
              </w:rPr>
              <w:t>5</w:t>
            </w:r>
            <w:r>
              <w:t>月</w:t>
            </w:r>
            <w:r>
              <w:rPr>
                <w:rFonts w:hint="eastAsia"/>
              </w:rPr>
              <w:t>～</w:t>
            </w:r>
            <w:r>
              <w:t>20</w:t>
            </w:r>
            <w:r>
              <w:rPr>
                <w:rFonts w:hint="eastAsia"/>
              </w:rPr>
              <w:t>28</w:t>
            </w:r>
            <w:r>
              <w:t>年</w:t>
            </w:r>
            <w:r>
              <w:rPr>
                <w:rFonts w:hint="eastAsia"/>
              </w:rPr>
              <w:t>5</w:t>
            </w:r>
            <w:r>
              <w:t>月</w:t>
            </w:r>
            <w:r>
              <w:rPr>
                <w:rFonts w:hint="eastAsia"/>
              </w:rPr>
              <w:t>），第二阶段为中期7年（2028年5月～2035年5月），第三阶段为开采结束后3年（2035年5月～2038年5月）。</w:t>
            </w:r>
          </w:p>
          <w:p>
            <w:r>
              <w:rPr>
                <w:rFonts w:hint="eastAsia"/>
              </w:rPr>
              <w:t>1）第一阶段为近期5年（</w:t>
            </w:r>
            <w:r>
              <w:t>20</w:t>
            </w:r>
            <w:r>
              <w:rPr>
                <w:rFonts w:hint="eastAsia"/>
              </w:rPr>
              <w:t>23</w:t>
            </w:r>
            <w:r>
              <w:t>年</w:t>
            </w:r>
            <w:r>
              <w:rPr>
                <w:rFonts w:hint="eastAsia"/>
              </w:rPr>
              <w:t>5</w:t>
            </w:r>
            <w:r>
              <w:t>月</w:t>
            </w:r>
            <w:r>
              <w:rPr>
                <w:rFonts w:hint="eastAsia"/>
              </w:rPr>
              <w:t>～</w:t>
            </w:r>
            <w:r>
              <w:t>20</w:t>
            </w:r>
            <w:r>
              <w:rPr>
                <w:rFonts w:hint="eastAsia"/>
              </w:rPr>
              <w:t>28</w:t>
            </w:r>
            <w:r>
              <w:t>年</w:t>
            </w:r>
            <w:r>
              <w:rPr>
                <w:rFonts w:hint="eastAsia"/>
              </w:rPr>
              <w:t>5</w:t>
            </w:r>
            <w:r>
              <w:t>月</w:t>
            </w:r>
            <w:r>
              <w:rPr>
                <w:rFonts w:hint="eastAsia"/>
              </w:rPr>
              <w:t>），动态总投资22.5615万元（其中静态投资21.06万元，价差预备费1.5015万元）。</w:t>
            </w:r>
          </w:p>
          <w:p>
            <w:r>
              <w:rPr>
                <w:rFonts w:hint="eastAsia"/>
              </w:rPr>
              <w:t>任务：矿外采空区（排土场）复垦面积1公顷（复垦面积1hm2，植树2500株，狗牙根1.0 hm2），拟采矿区范围处于矿山开采阶段，复垦区范围主要以监测为主。</w:t>
            </w:r>
          </w:p>
          <w:p>
            <w:r>
              <w:rPr>
                <w:rFonts w:hint="eastAsia"/>
              </w:rPr>
              <w:t>2）第二阶段中期7年（2028年5月～2035年5月），动态总投资18.3512万元（其中静态投资14万元，价差预备费4.3512万元）。</w:t>
            </w:r>
          </w:p>
          <w:p>
            <w:r>
              <w:rPr>
                <w:rFonts w:hint="eastAsia"/>
              </w:rPr>
              <w:t>任务：该段时间主要为生产结束，此阶段主要以监测、复垦准备（清除危石、初整复垦场地）为主。含水土监测工程，露天采场边坡监测工程。</w:t>
            </w:r>
          </w:p>
          <w:p>
            <w:r>
              <w:rPr>
                <w:rFonts w:hint="eastAsia"/>
              </w:rPr>
              <w:t>3）第三阶段为管护期3年（2035年5月～2038年5月），动态总投资39.6266万元（其中静态投资30.2309万元，价差预备费9.3957万元）。</w:t>
            </w:r>
          </w:p>
          <w:p>
            <w:r>
              <w:rPr>
                <w:rFonts w:hint="eastAsia"/>
              </w:rPr>
              <w:t>任务：办公生活区的砌体拆除工程；露采场底部平台、矿山公路、办公区的土壤重构工程；</w:t>
            </w:r>
            <w:r>
              <w:t xml:space="preserve"> </w:t>
            </w:r>
            <w:r>
              <w:rPr>
                <w:rFonts w:hint="eastAsia"/>
              </w:rPr>
              <w:t>露采场底部平台土壤培培肥工程（5.2105hm2）；乔木林地（2.919hm2）复垦工程；旱地（5.2105hm2）复垦工程；旱地、林地水土监测工程，植被监测和管护工程；露天采场边坡监测工程。（面积共9.1295hm2）。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7" w:hRule="atLeast"/>
        </w:trPr>
        <w:tc>
          <w:tcPr>
            <w:tcW w:w="275" w:type="pct"/>
            <w:gridSpan w:val="2"/>
            <w:vMerge w:val="continue"/>
            <w:tcBorders>
              <w:bottom w:val="single" w:color="auto" w:sz="4" w:space="0"/>
            </w:tcBorders>
            <w:vAlign w:val="center"/>
          </w:tcPr>
          <w:p>
            <w:pPr>
              <w:rPr>
                <w:highlight w:val="yellow"/>
              </w:rPr>
            </w:pPr>
          </w:p>
        </w:tc>
        <w:tc>
          <w:tcPr>
            <w:tcW w:w="458" w:type="pct"/>
            <w:gridSpan w:val="2"/>
            <w:tcBorders>
              <w:bottom w:val="single" w:color="auto" w:sz="4" w:space="0"/>
            </w:tcBorders>
            <w:vAlign w:val="center"/>
          </w:tcPr>
          <w:p>
            <w:r>
              <w:rPr>
                <w:rFonts w:hint="eastAsia"/>
              </w:rPr>
              <w:t>保障措施</w:t>
            </w:r>
          </w:p>
        </w:tc>
        <w:tc>
          <w:tcPr>
            <w:tcW w:w="4383" w:type="pct"/>
            <w:gridSpan w:val="6"/>
            <w:tcBorders>
              <w:bottom w:val="single" w:color="auto" w:sz="4" w:space="0"/>
            </w:tcBorders>
            <w:vAlign w:val="center"/>
          </w:tcPr>
          <w:p>
            <w:r>
              <w:rPr>
                <w:rFonts w:hint="eastAsia"/>
              </w:rPr>
              <w:t>1、组织保障</w:t>
            </w:r>
          </w:p>
          <w:p>
            <w:r>
              <w:rPr>
                <w:rFonts w:hint="eastAsia"/>
              </w:rPr>
              <w:t>矿区土地复垦方案采取项目实施单位治理的方式，由复垦义务人自行复垦，应</w:t>
            </w:r>
            <w:r>
              <w:t>严格按照</w:t>
            </w:r>
            <w:r>
              <w:rPr>
                <w:rFonts w:hint="eastAsia"/>
              </w:rPr>
              <w:t>有关规定及</w:t>
            </w:r>
            <w:r>
              <w:t>项目设计和相关标准开展各项工作，不得随意变更和调整</w:t>
            </w:r>
            <w:r>
              <w:rPr>
                <w:rFonts w:hint="eastAsia"/>
              </w:rPr>
              <w:t>。矿山企业</w:t>
            </w:r>
            <w:r>
              <w:t>应健全工程项目的土地复垦组织领导体系，成立土地复垦项目领导小组，负责工程建设中的土地复垦领导、管理和实施工作，</w:t>
            </w:r>
            <w:r>
              <w:rPr>
                <w:rFonts w:hint="eastAsia"/>
              </w:rPr>
              <w:t>自觉地接受</w:t>
            </w:r>
            <w:r>
              <w:t>并配合地方土地行政主管部门对土地复垦实施情况进行监督和管理，</w:t>
            </w:r>
            <w:r>
              <w:rPr>
                <w:rFonts w:hint="eastAsia"/>
              </w:rPr>
              <w:t>使复垦方案落到实处，保证该方案的顺利实施并发挥积极作用。</w:t>
            </w:r>
          </w:p>
          <w:p>
            <w:r>
              <w:rPr>
                <w:rFonts w:hint="eastAsia"/>
              </w:rPr>
              <w:t>2、技术保障</w:t>
            </w:r>
          </w:p>
          <w:p>
            <w:r>
              <w:rPr>
                <w:rFonts w:hint="eastAsia"/>
              </w:rPr>
              <w:t>方案编制的过程中广泛吸取了各地先进复垦经验，结合矿区的实际情况，在植物物种的选择、种植管护技术等多方面提出适合当地实际情况的方案措施，为本项目复垦方案的实施奠定了技术基础。本项目土地复垦方法经济、合理、可行，达到合理高效利用土地的标准。</w:t>
            </w:r>
          </w:p>
          <w:p>
            <w:r>
              <w:rPr>
                <w:rFonts w:hint="eastAsia"/>
              </w:rPr>
              <w:t>3、资金保障</w:t>
            </w:r>
          </w:p>
          <w:p>
            <w:r>
              <w:t>本复垦项目动态总投资</w:t>
            </w:r>
            <w:r>
              <w:rPr>
                <w:rFonts w:hint="eastAsia"/>
              </w:rPr>
              <w:t>80.5393</w:t>
            </w:r>
            <w:r>
              <w:t>万元（其中静态投资</w:t>
            </w:r>
            <w:r>
              <w:rPr>
                <w:rFonts w:hint="eastAsia"/>
              </w:rPr>
              <w:t>65.2909</w:t>
            </w:r>
            <w:r>
              <w:t>万元，价差预备费</w:t>
            </w:r>
            <w:r>
              <w:rPr>
                <w:rFonts w:hint="eastAsia"/>
              </w:rPr>
              <w:t>15.2484</w:t>
            </w:r>
            <w:r>
              <w:t>万元）</w:t>
            </w:r>
            <w:r>
              <w:rPr>
                <w:rFonts w:hint="eastAsia"/>
              </w:rPr>
              <w:t>，全部投资由矿山企业承担。土地复垦资金从曲靖市麒麟区三宝街道白砂坡采砂场生产项目中逐年提取，并确保复垦资金落到实处，提取的复垦费主要用于矿山土地复垦。</w:t>
            </w:r>
            <w:r>
              <w:t>要依</w:t>
            </w:r>
            <w:r>
              <w:rPr>
                <w:rFonts w:hint="eastAsia"/>
              </w:rPr>
              <w:t>照“复垦义务人所有，自然资源主管部门监管、专户存储、专款专用”的原</w:t>
            </w:r>
            <w:r>
              <w:t>则管理</w:t>
            </w:r>
            <w:r>
              <w:rPr>
                <w:rFonts w:hint="eastAsia"/>
              </w:rPr>
              <w:t>、监督。</w:t>
            </w:r>
          </w:p>
          <w:p>
            <w:r>
              <w:rPr>
                <w:rFonts w:hint="eastAsia"/>
              </w:rPr>
              <w:t>4、监管保障</w:t>
            </w:r>
          </w:p>
          <w:p>
            <w:pPr>
              <w:rPr>
                <w:highlight w:val="yellow"/>
              </w:rPr>
            </w:pPr>
            <w:r>
              <w:t>在项目实施过程中，各有关单位要加强资金使用管理，硬化估算约束。对资金要单独设账，封闭运行，严格执行专款专用、专项管理、单独核算规定，任何单位和个人不得超支出范围和标准开支，更不得截留和挪用项目资金，要保证将土地复垦资金真正用到土地复垦工程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2" w:hRule="exact"/>
        </w:trPr>
        <w:tc>
          <w:tcPr>
            <w:tcW w:w="275" w:type="pct"/>
            <w:gridSpan w:val="2"/>
            <w:vMerge w:val="continue"/>
            <w:vAlign w:val="center"/>
          </w:tcPr>
          <w:p>
            <w:pPr>
              <w:rPr>
                <w:highlight w:val="yellow"/>
              </w:rPr>
            </w:pPr>
          </w:p>
        </w:tc>
        <w:tc>
          <w:tcPr>
            <w:tcW w:w="458" w:type="pct"/>
            <w:gridSpan w:val="2"/>
            <w:vAlign w:val="center"/>
          </w:tcPr>
          <w:p>
            <w:pPr>
              <w:rPr>
                <w:highlight w:val="yellow"/>
              </w:rPr>
            </w:pPr>
            <w:r>
              <w:rPr>
                <w:rFonts w:hint="eastAsia"/>
              </w:rPr>
              <w:t>费用预存计划</w:t>
            </w:r>
          </w:p>
        </w:tc>
        <w:tc>
          <w:tcPr>
            <w:tcW w:w="4383" w:type="pct"/>
            <w:gridSpan w:val="6"/>
            <w:vAlign w:val="center"/>
          </w:tcPr>
          <w:p>
            <w:r>
              <w:t>本复垦项目动态总投资</w:t>
            </w:r>
            <w:r>
              <w:rPr>
                <w:rFonts w:hint="eastAsia"/>
              </w:rPr>
              <w:t>80.5393</w:t>
            </w:r>
            <w:r>
              <w:t>万元（其中静态投资</w:t>
            </w:r>
            <w:r>
              <w:rPr>
                <w:rFonts w:hint="eastAsia"/>
              </w:rPr>
              <w:t>65.2909万</w:t>
            </w:r>
            <w:r>
              <w:t>元，价差预备费</w:t>
            </w:r>
            <w:r>
              <w:rPr>
                <w:rFonts w:hint="eastAsia"/>
              </w:rPr>
              <w:t>15.2484</w:t>
            </w:r>
            <w:r>
              <w:t>万元），亩均动态投资</w:t>
            </w:r>
            <w:r>
              <w:rPr>
                <w:rFonts w:hint="eastAsia"/>
              </w:rPr>
              <w:t>5881.4</w:t>
            </w:r>
            <w:r>
              <w:t>元，</w:t>
            </w:r>
            <w:r>
              <w:rPr>
                <w:rFonts w:hint="eastAsia"/>
              </w:rPr>
              <w:t>全部投资由曲靖恒汇商贸有限公司筹集。矿山采用“边开采、边提取、边复垦”的方式从运营收入中提取保障复垦资金。</w:t>
            </w:r>
          </w:p>
          <w:p>
            <w:r>
              <w:t>根据《开发利用方案》</w:t>
            </w:r>
            <w:r>
              <w:rPr>
                <w:rFonts w:hint="eastAsia"/>
              </w:rPr>
              <w:t>及云南地科矿开评字〔2022〕01号</w:t>
            </w:r>
            <w:r>
              <w:t>，</w:t>
            </w:r>
            <w:r>
              <w:rPr>
                <w:rFonts w:hint="eastAsia"/>
              </w:rPr>
              <w:t>设计生产服务年限为12年。依据《云南省国土资源厅关于加强土地复垦费用监管的通知》</w:t>
            </w:r>
            <w:r>
              <w:t>（</w:t>
            </w:r>
            <w:r>
              <w:rPr>
                <w:rFonts w:hint="eastAsia"/>
              </w:rPr>
              <w:t>云国土资耕</w:t>
            </w:r>
            <w:r>
              <w:t>〔201</w:t>
            </w:r>
            <w:r>
              <w:rPr>
                <w:rFonts w:hint="eastAsia"/>
              </w:rPr>
              <w:t>4</w:t>
            </w:r>
            <w:r>
              <w:t>〕</w:t>
            </w:r>
            <w:r>
              <w:rPr>
                <w:rFonts w:hint="eastAsia"/>
              </w:rPr>
              <w:t>3号）规定，需在剩余服务年限（12年）内提前一年（即11年）将复垦费用计提完成，首期（第一年）缴存金额不低于</w:t>
            </w:r>
            <w:r>
              <w:t>静态投资</w:t>
            </w:r>
            <w:r>
              <w:rPr>
                <w:rFonts w:hint="eastAsia"/>
              </w:rPr>
              <w:t>复垦金额的20%。根据当地麒麟区复垦主管部门意见，以后1年为一期，逐期上交，剩余10期。</w:t>
            </w:r>
          </w:p>
          <w:p>
            <w:r>
              <w:rPr>
                <w:rFonts w:hint="eastAsia"/>
              </w:rPr>
              <w:t>经计算，首期（第一年）缴存</w:t>
            </w:r>
            <w:r>
              <w:t>静态投资</w:t>
            </w:r>
            <w:r>
              <w:rPr>
                <w:rFonts w:hint="eastAsia"/>
              </w:rPr>
              <w:t>金额13.06万元，土地复垦费用分期预存费用分期预存表如下：</w:t>
            </w:r>
          </w:p>
          <w:p>
            <w:r>
              <w:rPr>
                <w:rFonts w:hint="eastAsia"/>
              </w:rPr>
              <w:t>土地复垦费用分期预存表</w:t>
            </w:r>
          </w:p>
          <w:tbl>
            <w:tblPr>
              <w:tblStyle w:val="2"/>
              <w:tblW w:w="7268" w:type="dxa"/>
              <w:tblInd w:w="0" w:type="dxa"/>
              <w:tblLayout w:type="autofit"/>
              <w:tblCellMar>
                <w:top w:w="0" w:type="dxa"/>
                <w:left w:w="108" w:type="dxa"/>
                <w:bottom w:w="0" w:type="dxa"/>
                <w:right w:w="108" w:type="dxa"/>
              </w:tblCellMar>
            </w:tblPr>
            <w:tblGrid>
              <w:gridCol w:w="2087"/>
              <w:gridCol w:w="4063"/>
              <w:gridCol w:w="1118"/>
            </w:tblGrid>
            <w:tr>
              <w:tblPrEx>
                <w:tblCellMar>
                  <w:top w:w="0" w:type="dxa"/>
                  <w:left w:w="108" w:type="dxa"/>
                  <w:bottom w:w="0" w:type="dxa"/>
                  <w:right w:w="108" w:type="dxa"/>
                </w:tblCellMar>
              </w:tblPrEx>
              <w:trPr>
                <w:trHeight w:val="149" w:hRule="atLeast"/>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存储期</w:t>
                  </w:r>
                </w:p>
              </w:tc>
              <w:tc>
                <w:tcPr>
                  <w:tcW w:w="4063" w:type="dxa"/>
                  <w:tcBorders>
                    <w:top w:val="single" w:color="auto" w:sz="4" w:space="0"/>
                    <w:left w:val="nil"/>
                    <w:bottom w:val="single" w:color="auto" w:sz="4" w:space="0"/>
                    <w:right w:val="single" w:color="auto" w:sz="4" w:space="0"/>
                  </w:tcBorders>
                  <w:shd w:val="clear" w:color="auto" w:fill="auto"/>
                  <w:vAlign w:val="center"/>
                </w:tcPr>
                <w:p>
                  <w:r>
                    <w:rPr>
                      <w:rFonts w:hint="eastAsia"/>
                    </w:rPr>
                    <w:t>预存日期</w:t>
                  </w:r>
                </w:p>
              </w:tc>
              <w:tc>
                <w:tcPr>
                  <w:tcW w:w="1118" w:type="dxa"/>
                  <w:tcBorders>
                    <w:top w:val="single" w:color="auto" w:sz="4" w:space="0"/>
                    <w:left w:val="nil"/>
                    <w:bottom w:val="single" w:color="auto" w:sz="4" w:space="0"/>
                    <w:right w:val="single" w:color="auto" w:sz="4" w:space="0"/>
                  </w:tcBorders>
                  <w:shd w:val="clear" w:color="auto" w:fill="auto"/>
                  <w:vAlign w:val="center"/>
                </w:tcPr>
                <w:p>
                  <w:r>
                    <w:rPr>
                      <w:rFonts w:hint="eastAsia"/>
                    </w:rPr>
                    <w:t>预存额（万元）</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第1期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2023年12月31日前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13.06</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第2期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2024年12月31日前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第3期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2025年12月31日前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第4期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2026年12月31日前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第5期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2027年12月31日前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第6期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2028年12月31日前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第7期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2029年12月31日前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第8期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2030年12月31日前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第9期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2031年12月31日前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第10期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2032年12月31日前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6.75</w:t>
                  </w:r>
                </w:p>
              </w:tc>
            </w:tr>
            <w:tr>
              <w:tblPrEx>
                <w:tblCellMar>
                  <w:top w:w="0" w:type="dxa"/>
                  <w:left w:w="108" w:type="dxa"/>
                  <w:bottom w:w="0" w:type="dxa"/>
                  <w:right w:w="108" w:type="dxa"/>
                </w:tblCellMar>
              </w:tblPrEx>
              <w:trPr>
                <w:trHeight w:val="307"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第11期</w:t>
                  </w:r>
                </w:p>
              </w:tc>
              <w:tc>
                <w:tcPr>
                  <w:tcW w:w="4063" w:type="dxa"/>
                  <w:tcBorders>
                    <w:top w:val="nil"/>
                    <w:left w:val="nil"/>
                    <w:bottom w:val="single" w:color="auto" w:sz="8" w:space="0"/>
                    <w:right w:val="single" w:color="auto" w:sz="8" w:space="0"/>
                  </w:tcBorders>
                  <w:shd w:val="clear" w:color="auto" w:fill="auto"/>
                  <w:vAlign w:val="center"/>
                </w:tcPr>
                <w:p>
                  <w:r>
                    <w:rPr>
                      <w:rFonts w:hint="eastAsia"/>
                    </w:rPr>
                    <w:t>2033年12月31日前</w:t>
                  </w:r>
                </w:p>
              </w:tc>
              <w:tc>
                <w:tcPr>
                  <w:tcW w:w="1118" w:type="dxa"/>
                  <w:tcBorders>
                    <w:top w:val="nil"/>
                    <w:left w:val="single" w:color="auto" w:sz="4" w:space="0"/>
                    <w:bottom w:val="single" w:color="auto" w:sz="4" w:space="0"/>
                    <w:right w:val="single" w:color="auto" w:sz="4" w:space="0"/>
                  </w:tcBorders>
                  <w:shd w:val="clear" w:color="auto" w:fill="auto"/>
                  <w:vAlign w:val="center"/>
                </w:tcPr>
                <w:p>
                  <w:r>
                    <w:rPr>
                      <w:rFonts w:hint="eastAsia"/>
                    </w:rPr>
                    <w:t>6.7293</w:t>
                  </w:r>
                </w:p>
              </w:tc>
            </w:tr>
            <w:tr>
              <w:tblPrEx>
                <w:tblCellMar>
                  <w:top w:w="0" w:type="dxa"/>
                  <w:left w:w="108" w:type="dxa"/>
                  <w:bottom w:w="0" w:type="dxa"/>
                  <w:right w:w="108" w:type="dxa"/>
                </w:tblCellMar>
              </w:tblPrEx>
              <w:trPr>
                <w:trHeight w:val="149" w:hRule="atLeast"/>
              </w:trPr>
              <w:tc>
                <w:tcPr>
                  <w:tcW w:w="2087" w:type="dxa"/>
                  <w:tcBorders>
                    <w:top w:val="nil"/>
                    <w:left w:val="single" w:color="auto" w:sz="4" w:space="0"/>
                    <w:bottom w:val="single" w:color="auto" w:sz="4" w:space="0"/>
                    <w:right w:val="single" w:color="auto" w:sz="4" w:space="0"/>
                  </w:tcBorders>
                  <w:shd w:val="clear" w:color="auto" w:fill="auto"/>
                  <w:vAlign w:val="center"/>
                </w:tcPr>
                <w:p>
                  <w:r>
                    <w:rPr>
                      <w:rFonts w:hint="eastAsia"/>
                    </w:rPr>
                    <w:t>合计</w:t>
                  </w:r>
                </w:p>
              </w:tc>
              <w:tc>
                <w:tcPr>
                  <w:tcW w:w="4063" w:type="dxa"/>
                  <w:tcBorders>
                    <w:top w:val="single" w:color="auto" w:sz="4" w:space="0"/>
                    <w:left w:val="nil"/>
                    <w:bottom w:val="single" w:color="auto" w:sz="4" w:space="0"/>
                    <w:right w:val="single" w:color="auto" w:sz="4" w:space="0"/>
                  </w:tcBorders>
                  <w:shd w:val="clear" w:color="auto" w:fill="auto"/>
                  <w:vAlign w:val="center"/>
                </w:tcPr>
                <w:p>
                  <w:r>
                    <w:rPr>
                      <w:rFonts w:hint="eastAsia"/>
                    </w:rPr>
                    <w:t>　</w:t>
                  </w:r>
                </w:p>
              </w:tc>
              <w:tc>
                <w:tcPr>
                  <w:tcW w:w="1118" w:type="dxa"/>
                  <w:tcBorders>
                    <w:top w:val="nil"/>
                    <w:left w:val="nil"/>
                    <w:bottom w:val="single" w:color="auto" w:sz="4" w:space="0"/>
                    <w:right w:val="single" w:color="auto" w:sz="4" w:space="0"/>
                  </w:tcBorders>
                  <w:shd w:val="clear" w:color="auto" w:fill="auto"/>
                  <w:vAlign w:val="center"/>
                </w:tcPr>
                <w:p>
                  <w:r>
                    <w:rPr>
                      <w:rFonts w:hint="eastAsia"/>
                    </w:rPr>
                    <w:t>80.5393</w:t>
                  </w:r>
                </w:p>
              </w:tc>
            </w:tr>
          </w:tbl>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260" w:type="pct"/>
            <w:vMerge w:val="restart"/>
            <w:vAlign w:val="center"/>
          </w:tcPr>
          <w:p>
            <w:r>
              <w:rPr>
                <w:rFonts w:hint="eastAsia"/>
              </w:rPr>
              <w:t>复垦费用预算</w:t>
            </w:r>
          </w:p>
        </w:tc>
        <w:tc>
          <w:tcPr>
            <w:tcW w:w="249" w:type="pct"/>
            <w:gridSpan w:val="2"/>
            <w:vMerge w:val="restart"/>
            <w:vAlign w:val="center"/>
          </w:tcPr>
          <w:p>
            <w:r>
              <w:rPr>
                <w:rFonts w:hint="eastAsia"/>
              </w:rPr>
              <w:t>费用构成</w:t>
            </w:r>
          </w:p>
        </w:tc>
        <w:tc>
          <w:tcPr>
            <w:tcW w:w="633" w:type="pct"/>
            <w:gridSpan w:val="3"/>
            <w:vAlign w:val="center"/>
          </w:tcPr>
          <w:p>
            <w:r>
              <w:rPr>
                <w:rFonts w:hint="eastAsia"/>
              </w:rPr>
              <w:t>序号</w:t>
            </w:r>
          </w:p>
        </w:tc>
        <w:tc>
          <w:tcPr>
            <w:tcW w:w="1881" w:type="pct"/>
            <w:gridSpan w:val="2"/>
            <w:vAlign w:val="center"/>
          </w:tcPr>
          <w:p>
            <w:r>
              <w:rPr>
                <w:rFonts w:hint="eastAsia"/>
              </w:rPr>
              <w:t>工程或费用名称</w:t>
            </w:r>
          </w:p>
        </w:tc>
        <w:tc>
          <w:tcPr>
            <w:tcW w:w="2093" w:type="pct"/>
            <w:gridSpan w:val="2"/>
            <w:vAlign w:val="center"/>
          </w:tcPr>
          <w:p>
            <w:r>
              <w:rPr>
                <w:rFonts w:hint="eastAsia"/>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一</w:t>
            </w:r>
          </w:p>
        </w:tc>
        <w:tc>
          <w:tcPr>
            <w:tcW w:w="1881" w:type="pct"/>
            <w:gridSpan w:val="2"/>
            <w:vAlign w:val="center"/>
          </w:tcPr>
          <w:p>
            <w:r>
              <w:rPr>
                <w:rFonts w:hint="eastAsia"/>
              </w:rPr>
              <w:t>工程施工费</w:t>
            </w:r>
          </w:p>
        </w:tc>
        <w:tc>
          <w:tcPr>
            <w:tcW w:w="2093" w:type="pct"/>
            <w:gridSpan w:val="2"/>
            <w:vAlign w:val="center"/>
          </w:tcPr>
          <w:p>
            <w:r>
              <w:rPr>
                <w:rFonts w:hint="eastAsia"/>
              </w:rPr>
              <w:t>38.4369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二</w:t>
            </w:r>
          </w:p>
        </w:tc>
        <w:tc>
          <w:tcPr>
            <w:tcW w:w="1881" w:type="pct"/>
            <w:gridSpan w:val="2"/>
            <w:vAlign w:val="center"/>
          </w:tcPr>
          <w:p>
            <w:r>
              <w:rPr>
                <w:rFonts w:hint="eastAsia"/>
              </w:rPr>
              <w:t>监测与管护费</w:t>
            </w:r>
          </w:p>
        </w:tc>
        <w:tc>
          <w:tcPr>
            <w:tcW w:w="2093" w:type="pct"/>
            <w:gridSpan w:val="2"/>
            <w:vAlign w:val="center"/>
          </w:tcPr>
          <w:p>
            <w:r>
              <w:rPr>
                <w:rFonts w:hint="eastAsia"/>
              </w:rPr>
              <w:t>3.1702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三</w:t>
            </w:r>
          </w:p>
        </w:tc>
        <w:tc>
          <w:tcPr>
            <w:tcW w:w="1881" w:type="pct"/>
            <w:gridSpan w:val="2"/>
            <w:vAlign w:val="center"/>
          </w:tcPr>
          <w:p>
            <w:r>
              <w:rPr>
                <w:rFonts w:hint="eastAsia"/>
              </w:rPr>
              <w:t>其他费用</w:t>
            </w:r>
          </w:p>
        </w:tc>
        <w:tc>
          <w:tcPr>
            <w:tcW w:w="2093" w:type="pct"/>
            <w:gridSpan w:val="2"/>
            <w:vAlign w:val="center"/>
          </w:tcPr>
          <w:p>
            <w:r>
              <w:rPr>
                <w:rFonts w:hint="eastAsia"/>
              </w:rPr>
              <w:t>18.5546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四</w:t>
            </w:r>
          </w:p>
        </w:tc>
        <w:tc>
          <w:tcPr>
            <w:tcW w:w="1881" w:type="pct"/>
            <w:gridSpan w:val="2"/>
            <w:vAlign w:val="center"/>
          </w:tcPr>
          <w:p>
            <w:r>
              <w:rPr>
                <w:rFonts w:hint="eastAsia"/>
              </w:rPr>
              <w:t>基本预备费</w:t>
            </w:r>
          </w:p>
        </w:tc>
        <w:tc>
          <w:tcPr>
            <w:tcW w:w="2093" w:type="pct"/>
            <w:gridSpan w:val="2"/>
            <w:vAlign w:val="center"/>
          </w:tcPr>
          <w:p>
            <w:r>
              <w:rPr>
                <w:rFonts w:hint="eastAsia"/>
              </w:rPr>
              <w:t>5.1292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五</w:t>
            </w:r>
          </w:p>
        </w:tc>
        <w:tc>
          <w:tcPr>
            <w:tcW w:w="1881" w:type="pct"/>
            <w:gridSpan w:val="2"/>
            <w:vAlign w:val="center"/>
          </w:tcPr>
          <w:p>
            <w:r>
              <w:rPr>
                <w:rFonts w:hint="eastAsia"/>
              </w:rPr>
              <w:t>差价预备费</w:t>
            </w:r>
          </w:p>
        </w:tc>
        <w:tc>
          <w:tcPr>
            <w:tcW w:w="2093" w:type="pct"/>
            <w:gridSpan w:val="2"/>
            <w:vAlign w:val="center"/>
          </w:tcPr>
          <w:p>
            <w:r>
              <w:rPr>
                <w:rFonts w:hint="eastAsia"/>
              </w:rPr>
              <w:t>15.2484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六</w:t>
            </w:r>
          </w:p>
        </w:tc>
        <w:tc>
          <w:tcPr>
            <w:tcW w:w="1881" w:type="pct"/>
            <w:gridSpan w:val="2"/>
            <w:vAlign w:val="center"/>
          </w:tcPr>
          <w:p>
            <w:r>
              <w:rPr>
                <w:rFonts w:hint="eastAsia"/>
              </w:rPr>
              <w:t>静态总投资</w:t>
            </w:r>
          </w:p>
        </w:tc>
        <w:tc>
          <w:tcPr>
            <w:tcW w:w="2093" w:type="pct"/>
            <w:gridSpan w:val="2"/>
            <w:vAlign w:val="center"/>
          </w:tcPr>
          <w:p>
            <w:r>
              <w:rPr>
                <w:rFonts w:hint="eastAsia"/>
              </w:rPr>
              <w:t>65.2909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60" w:type="pct"/>
            <w:vMerge w:val="continue"/>
            <w:vAlign w:val="center"/>
          </w:tcPr>
          <w:p/>
        </w:tc>
        <w:tc>
          <w:tcPr>
            <w:tcW w:w="249" w:type="pct"/>
            <w:gridSpan w:val="2"/>
            <w:vMerge w:val="continue"/>
            <w:vAlign w:val="center"/>
          </w:tcPr>
          <w:p/>
        </w:tc>
        <w:tc>
          <w:tcPr>
            <w:tcW w:w="633" w:type="pct"/>
            <w:gridSpan w:val="3"/>
            <w:vAlign w:val="center"/>
          </w:tcPr>
          <w:p>
            <w:r>
              <w:rPr>
                <w:rFonts w:hint="eastAsia"/>
              </w:rPr>
              <w:t>七</w:t>
            </w:r>
          </w:p>
        </w:tc>
        <w:tc>
          <w:tcPr>
            <w:tcW w:w="1881" w:type="pct"/>
            <w:gridSpan w:val="2"/>
            <w:vAlign w:val="center"/>
          </w:tcPr>
          <w:p>
            <w:r>
              <w:rPr>
                <w:rFonts w:hint="eastAsia"/>
              </w:rPr>
              <w:t>动态总投资</w:t>
            </w:r>
          </w:p>
        </w:tc>
        <w:tc>
          <w:tcPr>
            <w:tcW w:w="2093" w:type="pct"/>
            <w:gridSpan w:val="2"/>
            <w:vAlign w:val="center"/>
          </w:tcPr>
          <w:p>
            <w:r>
              <w:rPr>
                <w:rFonts w:hint="eastAsia"/>
              </w:rPr>
              <w:t>80.5393</w:t>
            </w:r>
          </w:p>
        </w:tc>
      </w:tr>
    </w:tbl>
    <w:p>
      <w:r>
        <w:br w:type="page"/>
      </w:r>
    </w:p>
    <w:p>
      <w:r>
        <w:rPr>
          <w:rFonts w:hint="eastAsia"/>
        </w:rPr>
        <w:t>第三部分 结论与建议</w:t>
      </w:r>
    </w:p>
    <w:p>
      <w:bookmarkStart w:id="19" w:name="_Toc427071627"/>
      <w:bookmarkStart w:id="20" w:name="_Toc488998327"/>
      <w:bookmarkStart w:id="21" w:name="_Toc434230671"/>
      <w:bookmarkStart w:id="22" w:name="_Toc488827127"/>
      <w:bookmarkStart w:id="23" w:name="_Toc102922105"/>
      <w:r>
        <w:rPr>
          <w:rFonts w:hint="eastAsia"/>
        </w:rPr>
        <w:t>一、结论</w:t>
      </w:r>
      <w:bookmarkEnd w:id="19"/>
      <w:bookmarkEnd w:id="20"/>
      <w:bookmarkEnd w:id="21"/>
      <w:bookmarkEnd w:id="22"/>
      <w:bookmarkEnd w:id="23"/>
    </w:p>
    <w:p>
      <w:r>
        <w:rPr>
          <w:rFonts w:hint="eastAsia"/>
        </w:rPr>
        <w:t>1、曲靖市麒麟区三宝街道白砂坡采砂场设计生产规模为60万t/a（23.81万m3/a），属大型矿山。评估区重要程度为重要区，地质环境条件为中等复杂类型；将矿山地质环境影响评估精度确定为一级，地质灾害危险性评估分级为一级。</w:t>
      </w:r>
    </w:p>
    <w:p>
      <w:r>
        <w:rPr>
          <w:rFonts w:hint="eastAsia"/>
        </w:rPr>
        <w:t>2、评估区地貌上属构造剥蚀低中山地貌，地形起伏变化较大，地形地貌条件复杂。评估区地质构造简单，无断层破碎带分布；地壳稳定性属次稳定区。矿区地下水类型主要为裂隙含水层，富水性弱至中等，透水性中等；矿山开采矿体位于地下水位及侵蚀基准面之上，水文地质条件简单。矿区开采矿体及围岩均为层状结构坚硬类石英砂岩岩组，矿体及围岩总体稳固性较好；</w:t>
      </w:r>
      <w:r>
        <w:t>不良地质作用主要为</w:t>
      </w:r>
      <w:r>
        <w:rPr>
          <w:rFonts w:hint="eastAsia"/>
        </w:rPr>
        <w:t>冲沟和岩体风化，工程地质条件中等。评估区及附近范围主要为矿山开采、当地村民农耕活动，人类工程活动较强烈，评估区地质环境条件为中等。</w:t>
      </w:r>
    </w:p>
    <w:p>
      <w:r>
        <w:rPr>
          <w:rFonts w:hint="eastAsia"/>
        </w:rPr>
        <w:t>3、评估区范围内有1个潜在不稳定边坡分布，其他现状地质灾害不发育；现状不良地质作用危害性和危险性小-中等；矿山建设及生产对矿山地质环境影响程度较严重。矿山开采对含水层的破坏影响程度较轻，</w:t>
      </w:r>
      <w:r>
        <w:t>对地貌景观破坏程度</w:t>
      </w:r>
      <w:r>
        <w:rPr>
          <w:rFonts w:hint="eastAsia"/>
        </w:rPr>
        <w:t>较严重</w:t>
      </w:r>
      <w:r>
        <w:t>，对土地资源的</w:t>
      </w:r>
      <w:r>
        <w:rPr>
          <w:rFonts w:hint="eastAsia"/>
        </w:rPr>
        <w:t>破坏严重</w:t>
      </w:r>
      <w:r>
        <w:t>。</w:t>
      </w:r>
      <w:r>
        <w:rPr>
          <w:rFonts w:hint="eastAsia"/>
        </w:rPr>
        <w:t>总体上</w:t>
      </w:r>
      <w:r>
        <w:t>现状评估区地质环境的影响程度</w:t>
      </w:r>
      <w:r>
        <w:rPr>
          <w:rFonts w:hint="eastAsia"/>
        </w:rPr>
        <w:t>为严重</w:t>
      </w:r>
      <w:r>
        <w:t>。</w:t>
      </w:r>
    </w:p>
    <w:p>
      <w:r>
        <w:rPr>
          <w:rFonts w:hint="eastAsia"/>
        </w:rPr>
        <w:t>现状矿山主要为1个注销矿权原采空区挖损及辅助设施占用土地，总损毁面积为1.5839hm2，损毁地类为采矿用地、农村道路等，损毁程度为轻度损毁为主。</w:t>
      </w:r>
    </w:p>
    <w:p>
      <w:r>
        <w:rPr>
          <w:rFonts w:hint="eastAsia"/>
        </w:rPr>
        <w:t>4、矿山在未来开采过程中，将在采场北、西、南、东形成4个人工边坡，总体边坡属较稳定结构，引发地质灾害可能性小-中等，危险性中等，危害性中等。排土场加剧及诱发废石土体发生滑坡、泥石流的可能性小，危险性小，危害性小。办公及生活区、矿山公路等辅助设施遭受滑坡、泥石流等地质灾害的可能性较小，但办公生活区等辅助设施及矿山公路等在采场爆破影响半径范围内，遭受爆破飞石危害的可能性中等，危险性中等，危害较严重。</w:t>
      </w:r>
    </w:p>
    <w:p>
      <w:r>
        <w:rPr>
          <w:rFonts w:hint="eastAsia"/>
        </w:rPr>
        <w:t>矿山拟损毁土地为拟采区及辅助设施建设，拟损毁面积为8.0881hm2，损毁方式为挖损损毁，</w:t>
      </w:r>
      <w:r>
        <w:t>损毁程度</w:t>
      </w:r>
      <w:r>
        <w:rPr>
          <w:rFonts w:hint="eastAsia"/>
        </w:rPr>
        <w:t>为重</w:t>
      </w:r>
      <w:r>
        <w:t>度损毁</w:t>
      </w:r>
      <w:r>
        <w:rPr>
          <w:rFonts w:hint="eastAsia"/>
        </w:rPr>
        <w:t>。损毁地类为旱地、采矿用地、乔木林地、灌木林地、农村道路等。</w:t>
      </w:r>
    </w:p>
    <w:p>
      <w:r>
        <w:rPr>
          <w:rFonts w:hint="eastAsia"/>
        </w:rPr>
        <w:t>5、</w:t>
      </w:r>
      <w:r>
        <w:t>在对</w:t>
      </w:r>
      <w:r>
        <w:rPr>
          <w:rFonts w:hint="eastAsia"/>
        </w:rPr>
        <w:t>矿山</w:t>
      </w:r>
      <w:r>
        <w:t>地质灾害危险性、含水层、地形地貌景观和土地资源等</w:t>
      </w:r>
      <w:r>
        <w:rPr>
          <w:rFonts w:hint="eastAsia"/>
        </w:rPr>
        <w:t>现状、</w:t>
      </w:r>
      <w:r>
        <w:t>预测评估的基础上，</w:t>
      </w:r>
      <w:r>
        <w:rPr>
          <w:rFonts w:hint="eastAsia"/>
        </w:rPr>
        <w:t>将</w:t>
      </w:r>
      <w:r>
        <w:t>矿山</w:t>
      </w:r>
      <w:r>
        <w:rPr>
          <w:rFonts w:hint="eastAsia"/>
        </w:rPr>
        <w:t>分为</w:t>
      </w:r>
      <w:r>
        <w:t>地质环境影响程度</w:t>
      </w:r>
      <w:r>
        <w:rPr>
          <w:rFonts w:hint="eastAsia"/>
        </w:rPr>
        <w:t>严重区（i）及较轻区（ⅲ）</w:t>
      </w:r>
      <w:r>
        <w:t>。矿山建设总体适宜性为</w:t>
      </w:r>
      <w:r>
        <w:rPr>
          <w:rFonts w:hint="eastAsia"/>
        </w:rPr>
        <w:t>基本适宜</w:t>
      </w:r>
      <w:r>
        <w:t>。</w:t>
      </w:r>
    </w:p>
    <w:p>
      <w:r>
        <w:rPr>
          <w:rFonts w:hint="eastAsia"/>
        </w:rPr>
        <w:t>6、曲靖市麒麟区三宝街道白砂坡采砂场矿山为新立矿山，矿山设计生产规模为60万t/a，设计服务年限为12a，考虑矿山闭坑恢复治理年限（一般3a），确定</w:t>
      </w:r>
      <w:r>
        <w:t>方案</w:t>
      </w:r>
      <w:r>
        <w:rPr>
          <w:rFonts w:hint="eastAsia"/>
        </w:rPr>
        <w:t>编制</w:t>
      </w:r>
      <w:r>
        <w:t>年限为</w:t>
      </w:r>
      <w:r>
        <w:rPr>
          <w:rFonts w:hint="eastAsia"/>
        </w:rPr>
        <w:t>15a。</w:t>
      </w:r>
    </w:p>
    <w:p>
      <w:r>
        <w:rPr>
          <w:rFonts w:hint="eastAsia"/>
        </w:rPr>
        <w:t>根据《云南省矿山地质环境保护与恢复治理方案编制实施细则》，分析矿山地质环境影响程度，以矿山地质环境现状评估和预测评估结果，采取就上原则将评估区分为重点防治区（A）、一般防治区(C)。</w:t>
      </w:r>
    </w:p>
    <w:p>
      <w:r>
        <w:rPr>
          <w:rFonts w:hint="eastAsia"/>
        </w:rPr>
        <w:t>针对未来矿山开采建设和运营工程中，矿山本身可能诱发和遭受各种地质灾害，对露天采场边坡进行削坡处理，在开采境界边缘修建截排水沟；矿山道路旁和周边空地种植圆柏、狗牙根及爬山虎；矿山开采结束时，对辅助设施场地进行建筑物拆除、废土、废渣清理，露天采场底部、排土场、堆料场等复垦成旱耕地，矿山道路、开采台阶边坡种植圆柏、爬山虎等恢复为乔木林地。</w:t>
      </w:r>
    </w:p>
    <w:p>
      <w:r>
        <w:rPr>
          <w:rFonts w:hint="eastAsia"/>
        </w:rPr>
        <w:t>7、曲靖市麒麟区三宝街道白砂坡采砂场项目</w:t>
      </w:r>
      <w:r>
        <w:t>复垦区面积</w:t>
      </w:r>
      <w:r>
        <w:rPr>
          <w:rFonts w:hint="eastAsia"/>
        </w:rPr>
        <w:t>9.672hm</w:t>
      </w:r>
      <w:r>
        <w:t>2，无永久性建设用地，</w:t>
      </w:r>
      <w:r>
        <w:rPr>
          <w:rFonts w:hint="eastAsia"/>
        </w:rPr>
        <w:t>部分道路作农耕道路保留，</w:t>
      </w:r>
      <w:r>
        <w:t>因此复垦范围面积</w:t>
      </w:r>
      <w:r>
        <w:rPr>
          <w:rFonts w:hint="eastAsia"/>
        </w:rPr>
        <w:t>9.1295hm</w:t>
      </w:r>
      <w:r>
        <w:t>2，</w:t>
      </w:r>
      <w:r>
        <w:rPr>
          <w:rFonts w:hint="eastAsia"/>
        </w:rPr>
        <w:t>复垦为乔木林地、旱地，</w:t>
      </w:r>
      <w:r>
        <w:t>土地复垦率达到</w:t>
      </w:r>
      <w:r>
        <w:rPr>
          <w:rFonts w:hint="eastAsia"/>
        </w:rPr>
        <w:t>94</w:t>
      </w:r>
      <w:r>
        <w:t>％。</w:t>
      </w:r>
    </w:p>
    <w:p>
      <w:r>
        <w:rPr>
          <w:rFonts w:hint="eastAsia"/>
        </w:rPr>
        <w:t>8、本恢复治理方案编制年限为12a。方案适用期5a，总投资为60.5706万元。费用由矿山自筹，由业主列入专项资金，做到专款专用。</w:t>
      </w:r>
    </w:p>
    <w:p>
      <w:r>
        <w:rPr>
          <w:rFonts w:hint="eastAsia"/>
        </w:rPr>
        <w:t>9、</w:t>
      </w:r>
      <w:r>
        <w:t>本项目</w:t>
      </w:r>
      <w:r>
        <w:rPr>
          <w:rFonts w:hint="eastAsia"/>
        </w:rPr>
        <w:t>旱地、乔木林地复垦总面积9.1295hm2（136.94亩），通过预算，</w:t>
      </w:r>
      <w:r>
        <w:t>土地复垦工程静态总投资为</w:t>
      </w:r>
      <w:r>
        <w:rPr>
          <w:rFonts w:hint="eastAsia"/>
        </w:rPr>
        <w:t>65.2909万</w:t>
      </w:r>
      <w:r>
        <w:t>元，亩均</w:t>
      </w:r>
      <w:r>
        <w:rPr>
          <w:rFonts w:hint="eastAsia"/>
        </w:rPr>
        <w:t>静态</w:t>
      </w:r>
      <w:r>
        <w:t>投资</w:t>
      </w:r>
      <w:r>
        <w:rPr>
          <w:rFonts w:hint="eastAsia"/>
        </w:rPr>
        <w:t>4767.9元</w:t>
      </w:r>
      <w:r>
        <w:t>。</w:t>
      </w:r>
      <w:r>
        <w:rPr>
          <w:rFonts w:hint="eastAsia"/>
        </w:rPr>
        <w:t>动</w:t>
      </w:r>
      <w:r>
        <w:t>态总投资为</w:t>
      </w:r>
      <w:r>
        <w:rPr>
          <w:rFonts w:hint="eastAsia"/>
        </w:rPr>
        <w:t>80.5393万</w:t>
      </w:r>
      <w:r>
        <w:t>元，其中</w:t>
      </w:r>
      <w:r>
        <w:rPr>
          <w:rFonts w:hint="eastAsia"/>
        </w:rPr>
        <w:t>价差预备</w:t>
      </w:r>
      <w:r>
        <w:t>费</w:t>
      </w:r>
      <w:r>
        <w:rPr>
          <w:rFonts w:hint="eastAsia"/>
        </w:rPr>
        <w:t>15.2484万</w:t>
      </w:r>
      <w:r>
        <w:t>元</w:t>
      </w:r>
      <w:r>
        <w:rPr>
          <w:rFonts w:hint="eastAsia"/>
        </w:rPr>
        <w:t>；</w:t>
      </w:r>
      <w:r>
        <w:t>亩均</w:t>
      </w:r>
      <w:r>
        <w:rPr>
          <w:rFonts w:hint="eastAsia"/>
        </w:rPr>
        <w:t>动态</w:t>
      </w:r>
      <w:r>
        <w:t>投资</w:t>
      </w:r>
      <w:r>
        <w:rPr>
          <w:rFonts w:hint="eastAsia"/>
        </w:rPr>
        <w:t>5881.4</w:t>
      </w:r>
      <w:r>
        <w:t>元。</w:t>
      </w:r>
    </w:p>
    <w:p>
      <w:bookmarkStart w:id="24" w:name="_Toc488998328"/>
      <w:bookmarkStart w:id="25" w:name="_Toc102922106"/>
      <w:bookmarkStart w:id="26" w:name="_Toc310799737"/>
      <w:bookmarkStart w:id="27" w:name="_Toc434230672"/>
      <w:bookmarkStart w:id="28" w:name="_Toc311732765"/>
      <w:bookmarkStart w:id="29" w:name="_Toc488827128"/>
      <w:bookmarkStart w:id="30" w:name="_Toc427071628"/>
      <w:r>
        <w:rPr>
          <w:rFonts w:hint="eastAsia"/>
        </w:rPr>
        <w:t>二、</w:t>
      </w:r>
      <w:bookmarkEnd w:id="24"/>
      <w:bookmarkEnd w:id="25"/>
      <w:bookmarkEnd w:id="26"/>
      <w:bookmarkEnd w:id="27"/>
      <w:bookmarkEnd w:id="28"/>
      <w:bookmarkEnd w:id="29"/>
      <w:bookmarkEnd w:id="30"/>
      <w:r>
        <w:rPr>
          <w:rFonts w:hint="eastAsia"/>
        </w:rPr>
        <w:t>建议</w:t>
      </w:r>
    </w:p>
    <w:p>
      <w:r>
        <w:rPr>
          <w:rFonts w:hint="eastAsia"/>
        </w:rPr>
        <w:t>1、本方案适用期为5a，此后根据矿区环境影响因素的产生、发展情况以及以后的经济、社会环境条件进行相应调整、修订。根据采矿证复核审验年限分阶段进行修编，尤其是在开采方案发生变化时，应重新编制。</w:t>
      </w:r>
    </w:p>
    <w:p>
      <w:r>
        <w:rPr>
          <w:rFonts w:hint="eastAsia"/>
        </w:rPr>
        <w:t>2、矿山开采应严格按开发利用方案及开采设计等相关规范开采，在开采过程中根据实际情况调整开采角度，保证开采活动安全。</w:t>
      </w:r>
    </w:p>
    <w:p>
      <w:r>
        <w:rPr>
          <w:rFonts w:hint="eastAsia"/>
        </w:rPr>
        <w:t>3、矿山生产运行时严格按开发利用方案及本方案完善挡拦工程措施、植物绿化措施。</w:t>
      </w:r>
    </w:p>
    <w:p>
      <w:r>
        <w:rPr>
          <w:rFonts w:hint="eastAsia"/>
        </w:rPr>
        <w:t>4、矿山后期开采按照开发利用方案设计从上至下的台阶式开采。</w:t>
      </w:r>
    </w:p>
    <w:p>
      <w:r>
        <w:rPr>
          <w:rFonts w:hint="eastAsia"/>
        </w:rPr>
        <w:t>5、本矿山矿山公路、办公生活区，因此矿山生产过程中采用控制爆破手段，采用中深孔方式爆破，同时爆破时应提前警示，划定危险范围禁止人员、车辆入内等措施，避免危害造成事故的发生。</w:t>
      </w:r>
    </w:p>
    <w:p>
      <w:r>
        <w:rPr>
          <w:rFonts w:hint="eastAsia"/>
        </w:rPr>
        <w:t>6、预防爆破飞石对周边影响的主要措施为设立警戒区，以爆破点为中心设立300m的安全警戒区，</w:t>
      </w:r>
      <w:r>
        <w:t>爆破时由专人值班，严禁任何人员和牲畜进入爆破警戒</w:t>
      </w:r>
      <w:r>
        <w:rPr>
          <w:rFonts w:hint="eastAsia"/>
        </w:rPr>
        <w:t>区</w:t>
      </w:r>
      <w:r>
        <w:t>。</w:t>
      </w:r>
      <w:r>
        <w:rPr>
          <w:rFonts w:hint="eastAsia"/>
        </w:rPr>
        <w:t>爆破时在此区域内不得有非工作人员，工作人员因工作需要不能撤离或无法撤离时，须修建坚固可靠、能抵御飞石冲击的避炮棚。必要时采取爆区覆盖：对爆区的覆盖可以防止飞石的飞散。覆盖材料要求强度高、重量大、韧性好、能相互连接成厚大的整体、并能被牢固的固定。避免矿山爆破造成人员伤亡。</w:t>
      </w:r>
    </w:p>
    <w:p>
      <w:r>
        <w:rPr>
          <w:rFonts w:hint="eastAsia"/>
        </w:rPr>
        <w:t>7、矿山为露天开采，在矿山爆破、矿石加工以及矿山运输中产生的粉尘应采取</w:t>
      </w:r>
      <w:r>
        <w:t>进行洒水除尘</w:t>
      </w:r>
      <w:r>
        <w:rPr>
          <w:rFonts w:hint="eastAsia"/>
        </w:rPr>
        <w:t>，</w:t>
      </w:r>
      <w:r>
        <w:t>铲装采用喷雾洒水抑尘</w:t>
      </w:r>
      <w:r>
        <w:rPr>
          <w:rFonts w:hint="eastAsia"/>
        </w:rPr>
        <w:t>，尽量减少粉尘等对环境的影响。矿山开采、爆破、加工等将产生噪声污染，因此矿山开采过程中应采用新型低噪声的凿岩机、破碎生产设备等，从整体降低凿岩机等噪声。</w:t>
      </w:r>
    </w:p>
    <w:p>
      <w:r>
        <w:rPr>
          <w:rFonts w:hint="eastAsia"/>
        </w:rPr>
        <w:t>8、对露天采场、矿山道路可能引发和遭受的滑坡、崩塌等地质灾害，须设专人进行密切监测、分析和预报，发现隐患，及时采取一定的防治治理措施，避免或减少地质灾害的发生，保护矿山地质环境。</w:t>
      </w:r>
    </w:p>
    <w:p>
      <w:r>
        <w:rPr>
          <w:rFonts w:hint="eastAsia"/>
        </w:rPr>
        <w:t>9、加强对矿山地质环境保护与恢复治理工作的实施开展，保证治理工作的建设质量，提高矿山综合整治水平，将矿区建成生态环境优良的矿区。</w:t>
      </w:r>
    </w:p>
    <w:p>
      <w:r>
        <w:rPr>
          <w:rFonts w:hint="eastAsia"/>
        </w:rPr>
        <w:t>10、矿山开采过程中按照本方案设计的植被恢复措施，采取边开采边恢复，对破坏的土地资源进行恢复。</w:t>
      </w:r>
    </w:p>
    <w:p>
      <w:r>
        <w:rPr>
          <w:rFonts w:hint="eastAsia"/>
        </w:rPr>
        <w:t>11、本方案依据现场调查成果和已有资料进行编制，综合了已有资料成果的相关内容，但不能代替已有资料的各项专业性内容。业主进行地质环境保护与恢复治理时，除满足本方案要求外，还须满足《开采方案设计》、《环评报告(表)》、《水土保持报告(表)》等资料及有关法律法规、规程、规范、标准等的要求。</w:t>
      </w:r>
    </w:p>
    <w:p>
      <w:r>
        <w:rPr>
          <w:rFonts w:hint="eastAsia"/>
        </w:rPr>
        <w:t>12、在矿山开发中如出现方案中没有提到的问题，应及时进行评估；矿山地质环境恢复治理工程完成后应加强维护管理，确保发挥长期效益。</w:t>
      </w:r>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0570A4"/>
    <w:rsid w:val="000109A7"/>
    <w:rsid w:val="000570A4"/>
    <w:rsid w:val="62E3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9131</Words>
  <Characters>10720</Characters>
  <Lines>86</Lines>
  <Paragraphs>24</Paragraphs>
  <TotalTime>2</TotalTime>
  <ScaleCrop>false</ScaleCrop>
  <LinksUpToDate>false</LinksUpToDate>
  <CharactersWithSpaces>10879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2023-06-07T08:51:00Z</dcterms:created>
  <dc:creator>2442400364@qq.com</dc:creator>
  <cp:lastModifiedBy>WPS_1577147775</cp:lastModifiedBy>
  <dcterms:modified xsi:type="dcterms:W3CDTF">2024-07-27T07:35:54Z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E8BDDCB525634F64BBD751947065051F_13</vt:lpwstr>
  </property>
</Properties>
</file>