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spacing w:val="-40"/>
          <w:sz w:val="48"/>
          <w:szCs w:val="48"/>
        </w:rPr>
      </w:pPr>
      <w:bookmarkStart w:id="4" w:name="_GoBack"/>
      <w:bookmarkEnd w:id="4"/>
      <w:r>
        <w:rPr>
          <w:rFonts w:hint="eastAsia" w:asciiTheme="minorEastAsia" w:hAnsiTheme="minorEastAsia" w:eastAsiaTheme="minorEastAsia"/>
          <w:b/>
          <w:spacing w:val="-40"/>
          <w:sz w:val="46"/>
          <w:szCs w:val="48"/>
        </w:rPr>
        <w:t>曲靖市麒麟区三宝街道白砂坡采砂场建筑用砂矿</w:t>
      </w:r>
    </w:p>
    <w:p>
      <w:pPr>
        <w:ind w:firstLine="0" w:firstLineChars="0"/>
        <w:jc w:val="center"/>
        <w:rPr>
          <w:rFonts w:asciiTheme="minorEastAsia" w:hAnsiTheme="minorEastAsia" w:eastAsiaTheme="minorEastAsia"/>
          <w:b/>
          <w:bCs/>
          <w:spacing w:val="-20"/>
          <w:sz w:val="44"/>
          <w:szCs w:val="44"/>
        </w:rPr>
      </w:pPr>
      <w:r>
        <w:rPr>
          <w:rFonts w:hint="eastAsia" w:asciiTheme="minorEastAsia" w:hAnsiTheme="minorEastAsia" w:eastAsiaTheme="minorEastAsia"/>
          <w:b/>
          <w:bCs/>
          <w:spacing w:val="-20"/>
          <w:sz w:val="44"/>
          <w:szCs w:val="44"/>
        </w:rPr>
        <w:t>矿山地质环境保护与土地复垦方案评审专家组意见</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附件二</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曲靖恒汇商贸有限公司</w:t>
      </w: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二〇二三年五月</w:t>
      </w:r>
    </w:p>
    <w:p>
      <w:pPr>
        <w:ind w:left="480" w:firstLine="0" w:firstLineChars="0"/>
        <w:jc w:val="center"/>
        <w:rPr>
          <w:rFonts w:asciiTheme="minorEastAsia" w:hAnsiTheme="minorEastAsia" w:eastAsiaTheme="minorEastAsia"/>
          <w:b/>
          <w:sz w:val="36"/>
          <w:szCs w:val="36"/>
        </w:rPr>
      </w:pPr>
    </w:p>
    <w:tbl>
      <w:tblPr>
        <w:tblStyle w:val="2"/>
        <w:tblpPr w:leftFromText="180" w:rightFromText="180" w:vertAnchor="text" w:horzAnchor="margin" w:tblpX="-462" w:tblpY="1"/>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cs="宋体"/>
                <w:color w:val="000000" w:themeColor="text1"/>
                <w:szCs w:val="22"/>
                <w14:textFill>
                  <w14:solidFill>
                    <w14:schemeClr w14:val="tx1"/>
                  </w14:solidFill>
                </w14:textFill>
              </w:rPr>
            </w:pPr>
            <w:bookmarkStart w:id="0" w:name="_Toc180220050"/>
            <w:bookmarkStart w:id="1" w:name="_Toc179864990"/>
            <w:bookmarkStart w:id="2" w:name="_Toc188946019"/>
            <w:bookmarkStart w:id="3" w:name="_Toc188945427"/>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rPr>
                <w:rFonts w:cs="宋体"/>
                <w:color w:val="000000" w:themeColor="text1"/>
                <w:szCs w:val="22"/>
                <w14:textFill>
                  <w14:solidFill>
                    <w14:schemeClr w14:val="tx1"/>
                  </w14:solidFill>
                </w14:textFill>
              </w:rPr>
            </w:pPr>
          </w:p>
        </w:tc>
        <w:tc>
          <w:tcPr>
            <w:tcW w:w="8964" w:type="dxa"/>
            <w:tcBorders>
              <w:top w:val="single" w:color="auto" w:sz="4" w:space="0"/>
              <w:left w:val="single" w:color="auto" w:sz="4" w:space="0"/>
              <w:bottom w:val="single" w:color="auto" w:sz="4" w:space="0"/>
              <w:right w:val="single" w:color="auto" w:sz="4" w:space="0"/>
            </w:tcBorders>
          </w:tcPr>
          <w:p>
            <w:pPr>
              <w:spacing w:line="420" w:lineRule="exact"/>
              <w:ind w:firstLine="480"/>
              <w:rPr>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2023年5月25日，受曲靖市麒麟区自然资源局委托，云南省有色地质局三一七队</w:t>
            </w:r>
            <w:r>
              <w:rPr>
                <w:rFonts w:hint="eastAsia"/>
                <w:color w:val="000000" w:themeColor="text1"/>
                <w14:textFill>
                  <w14:solidFill>
                    <w14:schemeClr w14:val="tx1"/>
                  </w14:solidFill>
                </w14:textFill>
              </w:rPr>
              <w:t>在曲靖组织专家对曲靖市加能比地质工程勘察有限公司编制的《</w:t>
            </w:r>
            <w:r>
              <w:rPr>
                <w:rFonts w:hint="eastAsia"/>
              </w:rPr>
              <w:t>曲靖市麒麟区三宝街道白砂坡采砂场建筑用砂矿</w:t>
            </w:r>
            <w:r>
              <w:rPr>
                <w:rFonts w:hint="eastAsia"/>
                <w:color w:val="000000" w:themeColor="text1"/>
                <w14:textFill>
                  <w14:solidFill>
                    <w14:schemeClr w14:val="tx1"/>
                  </w14:solidFill>
                </w14:textFill>
              </w:rPr>
              <w:t>矿山地质环境保护与土地复垦方案》进行了评审。专家在会前认真审阅了《方案》及相关资料。与会专家听取编制单位的介绍，经会上提问、答疑、讨论基础上，认为《方案》基本达到技术规范要求，专家组合议后，形成以下评审意见：</w:t>
            </w:r>
          </w:p>
          <w:p>
            <w:pPr>
              <w:spacing w:line="420" w:lineRule="exact"/>
              <w:ind w:left="480" w:leftChars="200" w:firstLine="241" w:firstLineChars="10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 xml:space="preserve">一、项目基本情况 </w:t>
            </w:r>
          </w:p>
          <w:p>
            <w:pPr>
              <w:spacing w:line="420" w:lineRule="exact"/>
              <w:ind w:firstLine="480"/>
              <w:rPr>
                <w:rFonts w:cs="宋体"/>
                <w:color w:val="000000" w:themeColor="text1"/>
                <w14:textFill>
                  <w14:solidFill>
                    <w14:schemeClr w14:val="tx1"/>
                  </w14:solidFill>
                </w14:textFill>
              </w:rPr>
            </w:pPr>
            <w:r>
              <w:rPr>
                <w:rFonts w:hint="eastAsia" w:cs="宋体"/>
                <w:color w:val="000000"/>
              </w:rPr>
              <w:t>曲靖市麒麟区三宝街道白砂坡采砂场位于曲靖市城中心约164°方向平距约15km处，地处曲靖市麒麟区三宝街道黄旗村委会境内。矿区范围地理坐标（国家2000坐标系极值）：东经103°49′51″～103°50′03″，北纬25°21′29″～25°21′44″，其矿区中心点坐标为东经103°49′58″，北纬25°21′37″。</w:t>
            </w:r>
            <w:r>
              <w:rPr>
                <w:rFonts w:hint="eastAsia" w:cs="宋体"/>
                <w:color w:val="000000" w:themeColor="text1"/>
                <w14:textFill>
                  <w14:solidFill>
                    <w14:schemeClr w14:val="tx1"/>
                  </w14:solidFill>
                </w14:textFill>
              </w:rPr>
              <w:t>矿区总面积0.0727平方千米，开采深度</w:t>
            </w:r>
            <w:r>
              <w:rPr>
                <w:rFonts w:hint="eastAsia"/>
              </w:rPr>
              <w:t>1960～1880米</w:t>
            </w:r>
            <w:r>
              <w:rPr>
                <w:rFonts w:hint="eastAsia" w:cs="宋体"/>
                <w:color w:val="000000" w:themeColor="text1"/>
                <w14:textFill>
                  <w14:solidFill>
                    <w14:schemeClr w14:val="tx1"/>
                  </w14:solidFill>
                </w14:textFill>
              </w:rPr>
              <w:t>，由6个拐点圈定，开采规模为60.0万吨/年,属大型生产规模，采矿方式为露天开采。本次编制方案的目的是为办理采矿许可证登记手续。</w:t>
            </w:r>
          </w:p>
          <w:p>
            <w:pPr>
              <w:spacing w:line="420" w:lineRule="exact"/>
              <w:ind w:firstLine="602" w:firstLineChars="25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二、矿山地质环境保护与恢复治理部分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评估区地质环境条件复杂程度为中等复杂类型，评估区重要程度为较重要区，生产建设规模属大型，据《云南省矿山地质环境保护与恢复治理方案编制实施细则》附录A的规定，确定本矿山地质环境影响评估的精度为一级，根据“云南省矿山地质灾害危险性评估技术要求（试行）表3-1”之规定，矿山地质灾害评估级别为一级；</w:t>
            </w:r>
            <w:r>
              <w:rPr>
                <w:rFonts w:hint="eastAsia"/>
                <w:color w:val="000000" w:themeColor="text1"/>
                <w:szCs w:val="22"/>
                <w14:textFill>
                  <w14:solidFill>
                    <w14:schemeClr w14:val="tx1"/>
                  </w14:solidFill>
                </w14:textFill>
              </w:rPr>
              <w:t>评估区面积为0.5862</w:t>
            </w:r>
            <w:r>
              <w:rPr>
                <w:rFonts w:hint="eastAsia" w:cs="宋体"/>
                <w:color w:val="000000" w:themeColor="text1"/>
                <w:szCs w:val="22"/>
                <w14:textFill>
                  <w14:solidFill>
                    <w14:schemeClr w14:val="tx1"/>
                  </w14:solidFill>
                </w14:textFill>
              </w:rPr>
              <w:t>平方千米</w:t>
            </w:r>
            <w:r>
              <w:rPr>
                <w:rFonts w:hint="eastAsia"/>
                <w:color w:val="000000" w:themeColor="text1"/>
                <w:szCs w:val="22"/>
                <w14:textFill>
                  <w14:solidFill>
                    <w14:schemeClr w14:val="tx1"/>
                  </w14:solidFill>
                </w14:textFill>
              </w:rPr>
              <w:t>，按</w:t>
            </w:r>
            <w:r>
              <w:rPr>
                <w:rFonts w:hint="eastAsia" w:cs="宋体"/>
                <w:color w:val="000000" w:themeColor="text1"/>
                <w:szCs w:val="22"/>
                <w14:textFill>
                  <w14:solidFill>
                    <w14:schemeClr w14:val="tx1"/>
                  </w14:solidFill>
                </w14:textFill>
              </w:rPr>
              <w:t>一级开展矿山地质环境保护与治理恢复方案编制符合（DZ/T0223-2011）现行规定。</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（二）《方案》按编制《规范》附录编写</w:t>
            </w:r>
            <w:r>
              <w:rPr>
                <w:rFonts w:hint="eastAsia" w:cs="宋体"/>
                <w:color w:val="000000" w:themeColor="text1"/>
                <w:szCs w:val="22"/>
                <w:lang w:eastAsia="zh-CN"/>
                <w14:textFill>
                  <w14:solidFill>
                    <w14:schemeClr w14:val="tx1"/>
                  </w14:solidFill>
                </w14:textFill>
              </w:rPr>
              <w:t>提纲</w:t>
            </w:r>
            <w:r>
              <w:rPr>
                <w:rFonts w:hint="eastAsia" w:cs="宋体"/>
                <w:color w:val="000000" w:themeColor="text1"/>
                <w:szCs w:val="22"/>
                <w14:textFill>
                  <w14:solidFill>
                    <w14:schemeClr w14:val="tx1"/>
                  </w14:solidFill>
                </w14:textFill>
              </w:rPr>
              <w:t>要求进行，内容较为齐全，论述条理基本清楚，结论基本正确。附图、附件齐全，并通过了编制单位组织野外验收。基本符合编制《规范》要求。</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方案》中的现状评估基本符合实际，预测评估着重分析今后矿山开采诱发地质灾害的潜在威胁程度。并对含水层、地形地貌景观和土地资源等影响和破坏作了预测评估，矿山地质环境现状基本清楚，预测评估合理有据。</w:t>
            </w:r>
          </w:p>
          <w:p>
            <w:pPr>
              <w:spacing w:line="420" w:lineRule="exact"/>
              <w:ind w:firstLine="523" w:firstLineChars="218"/>
              <w:rPr>
                <w:rFonts w:cs="宋体"/>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（四）《方案》在现状评估、预测评估的基础上，考虑矿山地质环境问题，将评估区划分为次重点防治区和一般防治区。对矿山地质环境保护与恢复治理原则、目标、任务、工程部署和地质环境监</w:t>
            </w:r>
            <w:r>
              <w:rPr>
                <w:rFonts w:hint="eastAsia" w:cs="宋体"/>
                <w:color w:val="000000" w:themeColor="text1"/>
                <w14:textFill>
                  <w14:solidFill>
                    <w14:schemeClr w14:val="tx1"/>
                  </w14:solidFill>
                </w14:textFill>
              </w:rPr>
              <w:t>测等方面作了较为清楚的具体安排说明。</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14:textFill>
                  <w14:solidFill>
                    <w14:schemeClr w14:val="tx1"/>
                  </w14:solidFill>
                </w14:textFill>
              </w:rPr>
              <w:t>（五）《方案》中矿山地质环境恢复治理采取的工程措施、生物措施及监测措施基本</w:t>
            </w:r>
            <w:r>
              <w:rPr>
                <w:rFonts w:cs="宋体"/>
                <w:color w:val="000000" w:themeColor="text1"/>
                <w14:textFill>
                  <w14:solidFill>
                    <w14:schemeClr w14:val="tx1"/>
                  </w14:solidFill>
                </w14:textFill>
              </w:rPr>
              <w:t>可行</w:t>
            </w:r>
            <w:r>
              <w:rPr>
                <w:rFonts w:hint="eastAsia" w:cs="宋体"/>
                <w:color w:val="000000" w:themeColor="text1"/>
                <w14:textFill>
                  <w14:solidFill>
                    <w14:schemeClr w14:val="tx1"/>
                  </w14:solidFill>
                </w14:textFill>
              </w:rPr>
              <w:t>。方案编制服务年限为15年，方案总投资为</w:t>
            </w:r>
            <w:r>
              <w:rPr>
                <w:rFonts w:hint="eastAsia"/>
              </w:rPr>
              <w:t>60.5706万元（</w:t>
            </w:r>
            <w:r>
              <w:t>其中，</w:t>
            </w:r>
            <w:r>
              <w:rPr>
                <w:rFonts w:hint="eastAsia"/>
              </w:rPr>
              <w:t>工程措施费</w:t>
            </w:r>
            <w:r>
              <w:rPr>
                <w:rFonts w:hint="eastAsia" w:cs="宋体"/>
                <w:color w:val="000000"/>
                <w:sz w:val="22"/>
                <w:szCs w:val="22"/>
              </w:rPr>
              <w:t>28.2822万</w:t>
            </w:r>
            <w:r>
              <w:t>元</w:t>
            </w:r>
            <w:r>
              <w:rPr>
                <w:rFonts w:hint="eastAsia"/>
              </w:rPr>
              <w:t>，临时措施费</w:t>
            </w:r>
            <w:r>
              <w:rPr>
                <w:rFonts w:hint="eastAsia" w:cs="宋体"/>
                <w:color w:val="000000"/>
                <w:sz w:val="22"/>
                <w:szCs w:val="22"/>
              </w:rPr>
              <w:t>0.5656万</w:t>
            </w:r>
            <w:r>
              <w:t>元</w:t>
            </w:r>
            <w:r>
              <w:rPr>
                <w:rFonts w:hint="eastAsia"/>
              </w:rPr>
              <w:t>，监测费11.16万</w:t>
            </w:r>
            <w:r>
              <w:t>元</w:t>
            </w:r>
            <w:r>
              <w:rPr>
                <w:rFonts w:hint="eastAsia"/>
              </w:rPr>
              <w:t>，独立费用</w:t>
            </w:r>
            <w:r>
              <w:rPr>
                <w:rFonts w:hint="eastAsia" w:cs="宋体"/>
                <w:color w:val="000000"/>
                <w:sz w:val="22"/>
                <w:szCs w:val="22"/>
              </w:rPr>
              <w:t>6.606万</w:t>
            </w:r>
            <w:r>
              <w:t>元</w:t>
            </w:r>
            <w:r>
              <w:rPr>
                <w:rFonts w:hint="eastAsia"/>
              </w:rPr>
              <w:t>，预备费</w:t>
            </w:r>
            <w:r>
              <w:rPr>
                <w:rFonts w:hint="eastAsia" w:cs="宋体"/>
                <w:color w:val="000000"/>
                <w:sz w:val="22"/>
                <w:szCs w:val="22"/>
              </w:rPr>
              <w:t>2.7968万</w:t>
            </w:r>
            <w:r>
              <w:t>元</w:t>
            </w:r>
            <w:r>
              <w:rPr>
                <w:rFonts w:hint="eastAsia"/>
              </w:rPr>
              <w:t>）；方案适用期</w:t>
            </w:r>
            <w:r>
              <w:rPr>
                <w:spacing w:val="-2"/>
              </w:rPr>
              <w:t>矿山</w:t>
            </w:r>
            <w:r>
              <w:rPr>
                <w:rFonts w:hint="eastAsia"/>
                <w:spacing w:val="-2"/>
              </w:rPr>
              <w:t>地质</w:t>
            </w:r>
            <w:r>
              <w:rPr>
                <w:spacing w:val="-2"/>
              </w:rPr>
              <w:t>环境保护与</w:t>
            </w:r>
            <w:r>
              <w:rPr>
                <w:rFonts w:hint="eastAsia"/>
                <w:spacing w:val="-2"/>
              </w:rPr>
              <w:t>恢复</w:t>
            </w:r>
            <w:r>
              <w:rPr>
                <w:spacing w:val="-2"/>
              </w:rPr>
              <w:t>治理工程</w:t>
            </w:r>
            <w:r>
              <w:rPr>
                <w:rFonts w:hint="eastAsia"/>
                <w:spacing w:val="-2"/>
              </w:rPr>
              <w:t>总投资</w:t>
            </w:r>
            <w:r>
              <w:rPr>
                <w:rFonts w:hint="eastAsia"/>
              </w:rPr>
              <w:t>25.9632万元</w:t>
            </w:r>
            <w:r>
              <w:rPr>
                <w:rFonts w:hint="eastAsia" w:cs="宋体"/>
                <w:color w:val="000000" w:themeColor="text1"/>
                <w14:textFill>
                  <w14:solidFill>
                    <w14:schemeClr w14:val="tx1"/>
                  </w14:solidFill>
                </w14:textFill>
              </w:rPr>
              <w:t>。首期预存12.12万元，估算</w:t>
            </w:r>
            <w:r>
              <w:rPr>
                <w:rFonts w:hint="eastAsia" w:cs="宋体"/>
                <w:color w:val="000000" w:themeColor="text1"/>
                <w:szCs w:val="22"/>
                <w14:textFill>
                  <w14:solidFill>
                    <w14:schemeClr w14:val="tx1"/>
                  </w14:solidFill>
                </w14:textFill>
              </w:rPr>
              <w:t>结果较合理。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（六）《方案》中制定的矿山地质环境保护与治理恢复方案包括工程措施、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监测预警措施等，措施设计有一定针对性和可实施性。按专家</w:t>
            </w:r>
            <w:r>
              <w:rPr>
                <w:rFonts w:cs="宋体"/>
                <w:color w:val="000000" w:themeColor="text1"/>
                <w:szCs w:val="22"/>
                <w14:textFill>
                  <w14:solidFill>
                    <w14:schemeClr w14:val="tx1"/>
                  </w14:solidFill>
                </w14:textFill>
              </w:rPr>
              <w:t>意见</w:t>
            </w:r>
            <w:r>
              <w:rPr>
                <w:rFonts w:hint="eastAsia" w:cs="宋体"/>
                <w:color w:val="000000" w:themeColor="text1"/>
                <w:szCs w:val="22"/>
                <w14:textFill>
                  <w14:solidFill>
                    <w14:schemeClr w14:val="tx1"/>
                  </w14:solidFill>
                </w14:textFill>
              </w:rPr>
              <w:t>，经过补充修改后，已基本达到规范要求。</w:t>
            </w:r>
          </w:p>
          <w:p>
            <w:pPr>
              <w:spacing w:line="420" w:lineRule="exact"/>
              <w:ind w:firstLine="482"/>
              <w:jc w:val="left"/>
              <w:rPr>
                <w:rFonts w:cs="宋体"/>
                <w:color w:val="000000" w:themeColor="text1"/>
                <w:szCs w:val="22"/>
                <w14:textFill>
                  <w14:solidFill>
                    <w14:schemeClr w14:val="tx1"/>
                  </w14:solidFill>
                </w14:textFill>
              </w:rPr>
            </w:pPr>
            <w:r>
              <w:rPr>
                <w:rFonts w:hint="eastAsia" w:cs="宋体"/>
                <w:b/>
                <w:bCs/>
                <w:color w:val="000000" w:themeColor="text1"/>
                <w:szCs w:val="22"/>
                <w14:textFill>
                  <w14:solidFill>
                    <w14:schemeClr w14:val="tx1"/>
                  </w14:solidFill>
                </w14:textFill>
              </w:rPr>
              <w:t>评审结果：</w:t>
            </w:r>
            <w:r>
              <w:rPr>
                <w:rFonts w:hint="eastAsia" w:cs="宋体"/>
                <w:color w:val="000000" w:themeColor="text1"/>
                <w:szCs w:val="22"/>
                <w14:textFill>
                  <w14:solidFill>
                    <w14:schemeClr w14:val="tx1"/>
                  </w14:solidFill>
                </w14:textFill>
              </w:rPr>
              <w:t>该《方案》的编制基本符合有关文件及规范、技术标准的要求，相关分析依据充分，结论基本准确，采取的工程措施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预防措施基本可行，投资估（概）算结果基本准确，拟定的工作计划实施基本合理，基本达到了规范要求，专家组同意《方案》通过评审。编制单位已按专家组意见作了修改完善，可以按规定程序上报备案和提供使用。</w:t>
            </w:r>
          </w:p>
          <w:p>
            <w:pPr>
              <w:spacing w:line="420" w:lineRule="exact"/>
              <w:ind w:firstLine="532" w:firstLineChars="221"/>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三、土地复垦部分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土地复垦《方案》编制格式符合要求，内容较为齐全；调查研究与数据处理方法正确，数据基本可信；提出的土地复垦工程措施和生物措施基本可行；复垦费用估（概）算依据较充分，测算基本合理，可作为指导企业开展土地复垦工作的依据。</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原则同意《方案》中矿山开采损毁土地的预测和分析。本项目损毁土地方式主要为露天开采损毁，复垦区范围内损毁土地总面积9.672公顷，其中已损毁土地面积1.5839公顷，拟损毁土地面积8.0881公顷。损毁土地类型为旱地、园地、乔木林地、灌木林地、采矿用地及农村道路，其中旱地7.3314公顷；园地0.0269公顷；乔木林地0.2053公顷；灌木林地0.4547公顷；采矿用地1.1716公顷；农村道路0.4821公顷。</w:t>
            </w:r>
          </w:p>
          <w:p>
            <w:pPr>
              <w:spacing w:line="420" w:lineRule="exact"/>
              <w:ind w:firstLine="316" w:firstLineChars="132"/>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（三）原则同意《方案》制定的复垦目标和任务，土地复垦适宜性评价过程和结果基本可信。矿山土地复垦方案服务年限为15年</w:t>
            </w:r>
            <w:r>
              <w:rPr>
                <w:rFonts w:cs="宋体"/>
                <w:color w:val="000000" w:themeColor="text1"/>
                <w:szCs w:val="22"/>
                <w14:textFill>
                  <w14:solidFill>
                    <w14:schemeClr w14:val="tx1"/>
                  </w14:solidFill>
                </w14:textFill>
              </w:rPr>
              <w:t>（20</w:t>
            </w:r>
            <w:r>
              <w:rPr>
                <w:rFonts w:hint="eastAsia" w:cs="宋体"/>
                <w:color w:val="000000" w:themeColor="text1"/>
                <w:szCs w:val="22"/>
                <w14:textFill>
                  <w14:solidFill>
                    <w14:schemeClr w14:val="tx1"/>
                  </w14:solidFill>
                </w14:textFill>
              </w:rPr>
              <w:t>23年5月</w:t>
            </w:r>
            <w:r>
              <w:rPr>
                <w:rFonts w:cs="宋体"/>
                <w:color w:val="000000" w:themeColor="text1"/>
                <w:szCs w:val="22"/>
                <w14:textFill>
                  <w14:solidFill>
                    <w14:schemeClr w14:val="tx1"/>
                  </w14:solidFill>
                </w14:textFill>
              </w:rPr>
              <w:t>～20</w:t>
            </w:r>
            <w:r>
              <w:rPr>
                <w:rFonts w:hint="eastAsia" w:cs="宋体"/>
                <w:color w:val="000000" w:themeColor="text1"/>
                <w:szCs w:val="22"/>
                <w14:textFill>
                  <w14:solidFill>
                    <w14:schemeClr w14:val="tx1"/>
                  </w14:solidFill>
                </w14:textFill>
              </w:rPr>
              <w:t>38</w:t>
            </w:r>
            <w:r>
              <w:rPr>
                <w:rFonts w:cs="宋体"/>
                <w:color w:val="000000" w:themeColor="text1"/>
                <w:szCs w:val="22"/>
                <w14:textFill>
                  <w14:solidFill>
                    <w14:schemeClr w14:val="tx1"/>
                  </w14:solidFill>
                </w14:textFill>
              </w:rPr>
              <w:t>年</w:t>
            </w:r>
            <w:r>
              <w:rPr>
                <w:rFonts w:hint="eastAsia" w:cs="宋体"/>
                <w:color w:val="000000" w:themeColor="text1"/>
                <w:szCs w:val="22"/>
                <w14:textFill>
                  <w14:solidFill>
                    <w14:schemeClr w14:val="tx1"/>
                  </w14:solidFill>
                </w14:textFill>
              </w:rPr>
              <w:t>5</w:t>
            </w:r>
            <w:r>
              <w:rPr>
                <w:rFonts w:cs="宋体"/>
                <w:color w:val="000000" w:themeColor="text1"/>
                <w:szCs w:val="22"/>
                <w14:textFill>
                  <w14:solidFill>
                    <w14:schemeClr w14:val="tx1"/>
                  </w14:solidFill>
                </w14:textFill>
              </w:rPr>
              <w:t>月）</w:t>
            </w:r>
            <w:r>
              <w:rPr>
                <w:rFonts w:hint="eastAsia" w:cs="宋体"/>
                <w:color w:val="000000" w:themeColor="text1"/>
                <w:szCs w:val="22"/>
                <w14:textFill>
                  <w14:solidFill>
                    <w14:schemeClr w14:val="tx1"/>
                  </w14:solidFill>
                </w14:textFill>
              </w:rPr>
              <w:t>，适用年限为5年</w:t>
            </w:r>
            <w:r>
              <w:rPr>
                <w:rFonts w:cs="宋体"/>
                <w:color w:val="000000" w:themeColor="text1"/>
                <w:szCs w:val="22"/>
                <w14:textFill>
                  <w14:solidFill>
                    <w14:schemeClr w14:val="tx1"/>
                  </w14:solidFill>
                </w14:textFill>
              </w:rPr>
              <w:t>（20</w:t>
            </w:r>
            <w:r>
              <w:rPr>
                <w:rFonts w:hint="eastAsia" w:cs="宋体"/>
                <w:color w:val="000000" w:themeColor="text1"/>
                <w:szCs w:val="22"/>
                <w14:textFill>
                  <w14:solidFill>
                    <w14:schemeClr w14:val="tx1"/>
                  </w14:solidFill>
                </w14:textFill>
              </w:rPr>
              <w:t>23年5月</w:t>
            </w:r>
            <w:r>
              <w:rPr>
                <w:rFonts w:cs="宋体"/>
                <w:color w:val="000000" w:themeColor="text1"/>
                <w:szCs w:val="22"/>
                <w14:textFill>
                  <w14:solidFill>
                    <w14:schemeClr w14:val="tx1"/>
                  </w14:solidFill>
                </w14:textFill>
              </w:rPr>
              <w:t>～20</w:t>
            </w:r>
            <w:r>
              <w:rPr>
                <w:rFonts w:hint="eastAsia" w:cs="宋体"/>
                <w:color w:val="000000" w:themeColor="text1"/>
                <w:szCs w:val="22"/>
                <w14:textFill>
                  <w14:solidFill>
                    <w14:schemeClr w14:val="tx1"/>
                  </w14:solidFill>
                </w14:textFill>
              </w:rPr>
              <w:t>28年5月</w:t>
            </w:r>
            <w:r>
              <w:rPr>
                <w:rFonts w:cs="宋体"/>
                <w:color w:val="000000" w:themeColor="text1"/>
                <w:szCs w:val="22"/>
                <w14:textFill>
                  <w14:solidFill>
                    <w14:schemeClr w14:val="tx1"/>
                  </w14:solidFill>
                </w14:textFill>
              </w:rPr>
              <w:t>）</w:t>
            </w:r>
            <w:r>
              <w:rPr>
                <w:rFonts w:hint="eastAsia" w:cs="宋体"/>
                <w:color w:val="000000" w:themeColor="text1"/>
                <w:szCs w:val="22"/>
                <w14:textFill>
                  <w14:solidFill>
                    <w14:schemeClr w14:val="tx1"/>
                  </w14:solidFill>
                </w14:textFill>
              </w:rPr>
              <w:t>。复垦责任范围面积9.672公顷（规划复垦总面积9.1295公顷，其中复垦旱地5.2105公顷、乔木林地3.9190公顷</w:t>
            </w:r>
            <w:r>
              <w:rPr>
                <w:rFonts w:cs="宋体"/>
                <w:color w:val="000000" w:themeColor="text1"/>
                <w:szCs w:val="22"/>
                <w14:textFill>
                  <w14:solidFill>
                    <w14:schemeClr w14:val="tx1"/>
                  </w14:solidFill>
                </w14:textFill>
              </w:rPr>
              <w:t>）</w:t>
            </w:r>
            <w:r>
              <w:rPr>
                <w:rFonts w:hint="eastAsia" w:cs="宋体"/>
                <w:color w:val="000000" w:themeColor="text1"/>
                <w:szCs w:val="22"/>
                <w14:textFill>
                  <w14:solidFill>
                    <w14:schemeClr w14:val="tx1"/>
                  </w14:solidFill>
                </w14:textFill>
              </w:rPr>
              <w:t>，部分矿山公路保留，保留范围面积0.5425公顷，复垦率为94%。</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（四）原则同意《方案》中提出的预防控制措施、工程技术措施、生物措施和复垦措施。基本符合当地实际情况。</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（五）原则同意《方案》中提出的土地复垦标准、工程设计及工程量测算。在具体实施过程中，要进一步加强并细化复垦工程设计，明确施工过程中的具体参数，增加方案的可操作性。</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（六）原</w:t>
            </w:r>
            <w:r>
              <w:rPr>
                <w:rFonts w:hint="eastAsia" w:cs="宋体"/>
                <w:color w:val="000000" w:themeColor="text1"/>
                <w14:textFill>
                  <w14:solidFill>
                    <w14:schemeClr w14:val="tx1"/>
                  </w14:solidFill>
                </w14:textFill>
              </w:rPr>
              <w:t>则同意《方</w:t>
            </w:r>
            <w:r>
              <w:rPr>
                <w:rFonts w:hint="eastAsia" w:cs="宋体" w:asciiTheme="minorEastAsia" w:hAnsiTheme="minorEastAsia" w:eastAsiaTheme="minorEastAsia"/>
                <w:color w:val="000000" w:themeColor="text1"/>
                <w14:textFill>
                  <w14:solidFill>
                    <w14:schemeClr w14:val="tx1"/>
                  </w14:solidFill>
                </w14:textFill>
              </w:rPr>
              <w:t>案》中土地复垦投资估（概）算测算结果。确定复垦工程静态总投资</w:t>
            </w:r>
            <w:r>
              <w:rPr>
                <w:rFonts w:hint="eastAsia" w:asciiTheme="minorEastAsia" w:hAnsiTheme="minorEastAsia" w:eastAsiaTheme="minorEastAsia"/>
              </w:rPr>
              <w:t>65.2909</w:t>
            </w:r>
            <w:r>
              <w:rPr>
                <w:rFonts w:hint="eastAsia" w:cs="宋体" w:asciiTheme="minorEastAsia" w:hAnsiTheme="minorEastAsia" w:eastAsiaTheme="minorEastAsia"/>
                <w:color w:val="000000" w:themeColor="text1"/>
                <w14:textFill>
                  <w14:solidFill>
                    <w14:schemeClr w14:val="tx1"/>
                  </w14:solidFill>
                </w14:textFill>
              </w:rPr>
              <w:t>万元（</w:t>
            </w:r>
            <w:r>
              <w:rPr>
                <w:rFonts w:hint="eastAsia" w:asciiTheme="minorEastAsia" w:hAnsiTheme="minorEastAsia" w:eastAsiaTheme="minorEastAsia"/>
              </w:rPr>
              <w:t>4767.9</w:t>
            </w:r>
            <w:r>
              <w:rPr>
                <w:rFonts w:hint="eastAsia" w:cs="宋体" w:asciiTheme="minorEastAsia" w:hAnsiTheme="minorEastAsia" w:eastAsiaTheme="minorEastAsia"/>
                <w:color w:val="000000" w:themeColor="text1"/>
                <w14:textFill>
                  <w14:solidFill>
                    <w14:schemeClr w14:val="tx1"/>
                  </w14:solidFill>
                </w14:textFill>
              </w:rPr>
              <w:t>元/亩）；动态总投资为</w:t>
            </w:r>
            <w:r>
              <w:rPr>
                <w:rFonts w:hint="eastAsia" w:asciiTheme="minorEastAsia" w:hAnsiTheme="minorEastAsia" w:eastAsiaTheme="minorEastAsia"/>
              </w:rPr>
              <w:t>80.5393</w:t>
            </w:r>
            <w:r>
              <w:rPr>
                <w:rFonts w:hint="eastAsia" w:cs="宋体" w:asciiTheme="minorEastAsia" w:hAnsiTheme="minorEastAsia" w:eastAsiaTheme="minorEastAsia"/>
                <w:color w:val="000000" w:themeColor="text1"/>
                <w14:textFill>
                  <w14:solidFill>
                    <w14:schemeClr w14:val="tx1"/>
                  </w14:solidFill>
                </w14:textFill>
              </w:rPr>
              <w:t>万元（</w:t>
            </w:r>
            <w:r>
              <w:rPr>
                <w:rFonts w:hint="eastAsia" w:asciiTheme="minorEastAsia" w:hAnsiTheme="minorEastAsia" w:eastAsiaTheme="minorEastAsia"/>
              </w:rPr>
              <w:t>5881.4</w:t>
            </w:r>
            <w:r>
              <w:rPr>
                <w:rFonts w:hint="eastAsia" w:cs="宋体" w:asciiTheme="minorEastAsia" w:hAnsiTheme="minorEastAsia" w:eastAsiaTheme="minorEastAsia"/>
                <w:color w:val="000000" w:themeColor="text1"/>
                <w14:textFill>
                  <w14:solidFill>
                    <w14:schemeClr w14:val="tx1"/>
                  </w14:solidFill>
                </w14:textFill>
              </w:rPr>
              <w:t>元/亩）。项目复垦资金预存按复垦方案服务年限进行预存，首期预存资金不低于静态总投资的20%，首期预存资金</w:t>
            </w:r>
            <w:r>
              <w:rPr>
                <w:rFonts w:hint="eastAsia" w:cs="宋体" w:asciiTheme="minorEastAsia" w:hAnsiTheme="minorEastAsia" w:eastAsiaTheme="minorEastAsia"/>
                <w:color w:val="000000"/>
              </w:rPr>
              <w:t>13.06</w:t>
            </w:r>
            <w:r>
              <w:rPr>
                <w:rFonts w:hint="eastAsia" w:cs="宋体" w:asciiTheme="minorEastAsia" w:hAnsiTheme="minorEastAsia" w:eastAsiaTheme="minorEastAsia"/>
                <w:color w:val="000000" w:themeColor="text1"/>
                <w14:textFill>
                  <w14:solidFill>
                    <w14:schemeClr w14:val="tx1"/>
                  </w14:solidFill>
                </w14:textFill>
              </w:rPr>
              <w:t>万元。矿山</w:t>
            </w:r>
            <w:r>
              <w:rPr>
                <w:rFonts w:hint="eastAsia" w:cs="宋体"/>
                <w:color w:val="000000" w:themeColor="text1"/>
                <w14:textFill>
                  <w14:solidFill>
                    <w14:schemeClr w14:val="tx1"/>
                  </w14:solidFill>
                </w14:textFill>
              </w:rPr>
              <w:t>企业要进一步明确土地复垦费用从建设或生产成本中提取，加大土地复垦前期投入额</w:t>
            </w:r>
            <w:r>
              <w:rPr>
                <w:rFonts w:hint="eastAsia" w:cs="宋体"/>
                <w:color w:val="000000" w:themeColor="text1"/>
                <w:szCs w:val="22"/>
                <w14:textFill>
                  <w14:solidFill>
                    <w14:schemeClr w14:val="tx1"/>
                  </w14:solidFill>
                </w14:textFill>
              </w:rPr>
              <w:t>度，并根据复垦工作计划安排，保障复垦经费专款专用。费用不足的，要及时足额追加投资，用好用活基金和土地复垦费用，切实做到“边开采、边治理”。确保土地复垦工作的顺利进行。</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（七）《方案》经过补充内容修改后，已达到规范要求。</w:t>
            </w:r>
          </w:p>
          <w:p>
            <w:pPr>
              <w:spacing w:line="420" w:lineRule="exact"/>
              <w:ind w:firstLine="482"/>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四、专家组强调事项</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（一）需强调特别突出的地质灾害隐患或地质环境问题，防治措施要落实。</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矿山企业抓紧落实土地复垦资金，落实责任，明确土地复垦资金使用计划、开展土地复垦工作计划，并按要求定期向县级自然资源主管部门报告土地复垦实施情况，接受当地各级自然资源管理部门的监督和检查。</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（三）矿山工程建设活动应当节约集约利用土地和保护耕地情况下，促进损毁土地优先复垦为耕地，保证土层厚度、土壤质地、土壤PH值、土壤有机质等指标符合要求，达到可供利用状态。严禁有害</w:t>
            </w:r>
            <w:r>
              <w:rPr>
                <w:rFonts w:cs="宋体"/>
                <w:color w:val="000000" w:themeColor="text1"/>
                <w:szCs w:val="22"/>
                <w14:textFill>
                  <w14:solidFill>
                    <w14:schemeClr w14:val="tx1"/>
                  </w14:solidFill>
                </w14:textFill>
              </w:rPr>
              <w:t>元</w:t>
            </w:r>
            <w:r>
              <w:rPr>
                <w:rFonts w:hint="eastAsia" w:cs="宋体"/>
                <w:color w:val="000000" w:themeColor="text1"/>
                <w:szCs w:val="22"/>
                <w14:textFill>
                  <w14:solidFill>
                    <w14:schemeClr w14:val="tx1"/>
                  </w14:solidFill>
                </w14:textFill>
              </w:rPr>
              <w:t>素、重金属超标。</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（四）本方案设计复垦为耕地的区域，需采取土地翻耕与土壤改良措施（土壤培肥），连续撒播光叶紫花苕三年。对复垦为林地的，树苗成活率要达到9</w:t>
            </w:r>
            <w:r>
              <w:rPr>
                <w:rFonts w:cs="宋体"/>
                <w:color w:val="000000" w:themeColor="text1"/>
                <w:szCs w:val="22"/>
                <w14:textFill>
                  <w14:solidFill>
                    <w14:schemeClr w14:val="tx1"/>
                  </w14:solidFill>
                </w14:textFill>
              </w:rPr>
              <w:t>0</w:t>
            </w:r>
            <w:r>
              <w:rPr>
                <w:rFonts w:hint="eastAsia" w:cs="宋体"/>
                <w:color w:val="000000" w:themeColor="text1"/>
                <w:szCs w:val="22"/>
                <w14:textFill>
                  <w14:solidFill>
                    <w14:schemeClr w14:val="tx1"/>
                  </w14:solidFill>
                </w14:textFill>
              </w:rPr>
              <w:t>%以上。</w:t>
            </w:r>
          </w:p>
          <w:p>
            <w:pPr>
              <w:spacing w:line="420" w:lineRule="exact"/>
              <w:ind w:firstLine="458" w:firstLineChars="191"/>
              <w:rPr>
                <w:rFonts w:cs="Arial"/>
                <w:color w:val="000000" w:themeColor="text1"/>
                <w:spacing w:val="20"/>
                <w:shd w:val="clear" w:color="auto" w:fill="FFFFFF"/>
                <w:lang w:val="zh-CN" w:bidi="en-US"/>
                <w14:textFill>
                  <w14:solidFill>
                    <w14:schemeClr w14:val="tx1"/>
                  </w14:solidFill>
                </w14:textFill>
              </w:rPr>
            </w:pPr>
            <w:r>
              <w:rPr>
                <w:rFonts w:hint="eastAsia" w:cs="宋体"/>
                <w:color w:val="000000" w:themeColor="text1"/>
                <w:szCs w:val="22"/>
                <w14:textFill>
                  <w14:solidFill>
                    <w14:schemeClr w14:val="tx1"/>
                  </w14:solidFill>
                </w14:textFill>
              </w:rPr>
              <w:t>（五）矿山企业要坚持“绿水青山就是金山银山”的发展理念，进一步加强对矿山生态修复工作重要性的认识。落实矿山地质环境保护与土地复垦方案、实施治理工程计划。按照“谁破坏、谁治理”，“谁损毁、谁复垦”原则，</w:t>
            </w:r>
            <w:r>
              <w:rPr>
                <w:rFonts w:hint="eastAsia"/>
                <w:color w:val="000000" w:themeColor="text1"/>
                <w14:textFill>
                  <w14:solidFill>
                    <w14:schemeClr w14:val="tx1"/>
                  </w14:solidFill>
                </w14:textFill>
              </w:rPr>
              <w:t>切实履行</w:t>
            </w:r>
            <w:r>
              <w:rPr>
                <w:rFonts w:hint="eastAsia" w:cs="宋体"/>
                <w:color w:val="000000" w:themeColor="text1"/>
                <w:szCs w:val="22"/>
                <w14:textFill>
                  <w14:solidFill>
                    <w14:schemeClr w14:val="tx1"/>
                  </w14:solidFill>
                </w14:textFill>
              </w:rPr>
              <w:t>矿山地质</w:t>
            </w:r>
            <w:r>
              <w:rPr>
                <w:rFonts w:cs="宋体"/>
                <w:color w:val="000000" w:themeColor="text1"/>
                <w:szCs w:val="22"/>
                <w14:textFill>
                  <w14:solidFill>
                    <w14:schemeClr w14:val="tx1"/>
                  </w14:solidFill>
                </w14:textFill>
              </w:rPr>
              <w:t>环境</w:t>
            </w:r>
            <w:r>
              <w:rPr>
                <w:rFonts w:hint="eastAsia" w:cs="宋体"/>
                <w:color w:val="000000" w:themeColor="text1"/>
                <w:szCs w:val="22"/>
                <w14:textFill>
                  <w14:solidFill>
                    <w14:schemeClr w14:val="tx1"/>
                  </w14:solidFill>
                </w14:textFill>
              </w:rPr>
              <w:t>治理恢复与土地复垦的责任和</w:t>
            </w:r>
            <w:r>
              <w:rPr>
                <w:rFonts w:cs="宋体"/>
                <w:color w:val="000000" w:themeColor="text1"/>
                <w:szCs w:val="22"/>
                <w14:textFill>
                  <w14:solidFill>
                    <w14:schemeClr w14:val="tx1"/>
                  </w14:solidFill>
                </w14:textFill>
              </w:rPr>
              <w:t>义务</w:t>
            </w:r>
            <w:r>
              <w:rPr>
                <w:rFonts w:hint="eastAsia" w:cs="宋体"/>
                <w:color w:val="000000" w:themeColor="text1"/>
                <w:szCs w:val="22"/>
                <w14:textFill>
                  <w14:solidFill>
                    <w14:schemeClr w14:val="tx1"/>
                  </w14:solidFill>
                </w14:textFill>
              </w:rPr>
              <w:t>。</w:t>
            </w:r>
          </w:p>
          <w:p>
            <w:pPr>
              <w:widowControl/>
              <w:spacing w:line="420" w:lineRule="exact"/>
              <w:ind w:firstLine="482"/>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五、评审结果</w:t>
            </w:r>
          </w:p>
          <w:p>
            <w:pPr>
              <w:spacing w:line="420" w:lineRule="exact"/>
              <w:ind w:firstLine="458" w:firstLineChars="191"/>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综上所述，《</w:t>
            </w:r>
            <w:r>
              <w:rPr>
                <w:rFonts w:hint="eastAsia"/>
                <w:color w:val="000000" w:themeColor="text1"/>
                <w14:textFill>
                  <w14:solidFill>
                    <w14:schemeClr w14:val="tx1"/>
                  </w14:solidFill>
                </w14:textFill>
              </w:rPr>
              <w:t>曲靖市麒麟区三宝街道白砂坡采砂场建筑用砂矿矿山地质环境保护与土地复垦方案</w:t>
            </w:r>
            <w:r>
              <w:rPr>
                <w:rFonts w:hint="eastAsia" w:cs="宋体"/>
                <w:color w:val="000000" w:themeColor="text1"/>
                <w:szCs w:val="22"/>
                <w14:textFill>
                  <w14:solidFill>
                    <w14:schemeClr w14:val="tx1"/>
                  </w14:solidFill>
                </w14:textFill>
              </w:rPr>
              <w:t>》的编制基本符合有关文件及技术规范、标准的要求，相关分析依据充分，结论基本准确，采取的预防措施、工程措施基本可行，投资估（概）算测算结果基本准确，拟定的工作计划实施基本合理，基本达到了规范要求，专家组同意《方案》通过评审。编制单位已按专家组意见认真作了修改完善，可以按规定程序上报备案和提供使用。</w:t>
            </w:r>
          </w:p>
          <w:p>
            <w:pPr>
              <w:spacing w:line="420" w:lineRule="exact"/>
              <w:ind w:firstLine="2040" w:firstLineChars="85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 xml:space="preserve">    </w:t>
            </w: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2970" w:firstLineChars="1650"/>
              <w:rPr>
                <w:rFonts w:cs="宋体"/>
                <w:color w:val="000000" w:themeColor="text1"/>
                <w:szCs w:val="22"/>
                <w14:textFill>
                  <w14:solidFill>
                    <w14:schemeClr w14:val="tx1"/>
                  </w14:solidFill>
                </w14:textFill>
              </w:rPr>
            </w:pPr>
            <w:r>
              <w:rPr>
                <w:rFonts w:hint="eastAsia"/>
                <w:color w:val="000000"/>
                <w:sz w:val="18"/>
                <w:szCs w:val="18"/>
              </w:rPr>
              <w:drawing>
                <wp:anchor distT="0" distB="0" distL="114300" distR="114300" simplePos="0" relativeHeight="251659264" behindDoc="1" locked="0" layoutInCell="1" allowOverlap="1">
                  <wp:simplePos x="0" y="0"/>
                  <wp:positionH relativeFrom="column">
                    <wp:posOffset>3348355</wp:posOffset>
                  </wp:positionH>
                  <wp:positionV relativeFrom="paragraph">
                    <wp:posOffset>39370</wp:posOffset>
                  </wp:positionV>
                  <wp:extent cx="871855" cy="304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1728" cy="304800"/>
                          </a:xfrm>
                          <a:prstGeom prst="rect">
                            <a:avLst/>
                          </a:prstGeom>
                        </pic:spPr>
                      </pic:pic>
                    </a:graphicData>
                  </a:graphic>
                </wp:anchor>
              </w:drawing>
            </w:r>
            <w:r>
              <w:rPr>
                <w:rFonts w:hint="eastAsia" w:cs="宋体"/>
                <w:color w:val="000000" w:themeColor="text1"/>
                <w:szCs w:val="22"/>
                <w14:textFill>
                  <w14:solidFill>
                    <w14:schemeClr w14:val="tx1"/>
                  </w14:solidFill>
                </w14:textFill>
              </w:rPr>
              <w:t>专家组组长（签名）：</w:t>
            </w:r>
          </w:p>
          <w:p>
            <w:pPr>
              <w:spacing w:line="420" w:lineRule="exact"/>
              <w:ind w:firstLine="3120" w:firstLineChars="1300"/>
              <w:rPr>
                <w:rFonts w:cs="宋体"/>
                <w:color w:val="000000" w:themeColor="text1"/>
                <w:szCs w:val="22"/>
                <w14:textFill>
                  <w14:solidFill>
                    <w14:schemeClr w14:val="tx1"/>
                  </w14:solidFill>
                </w14:textFill>
              </w:rPr>
            </w:pPr>
            <w:r>
              <w:rPr>
                <w:rFonts w:cs="宋体"/>
                <w:color w:val="000000" w:themeColor="text1"/>
                <w:szCs w:val="22"/>
                <w14:textFill>
                  <w14:solidFill>
                    <w14:schemeClr w14:val="tx1"/>
                  </w14:solidFill>
                </w14:textFill>
              </w:rPr>
              <w:t>2023</w:t>
            </w:r>
            <w:r>
              <w:rPr>
                <w:rFonts w:hint="eastAsia" w:cs="宋体"/>
                <w:color w:val="000000" w:themeColor="text1"/>
                <w:szCs w:val="22"/>
                <w14:textFill>
                  <w14:solidFill>
                    <w14:schemeClr w14:val="tx1"/>
                  </w14:solidFill>
                </w14:textFill>
              </w:rPr>
              <w:t>年6月5日</w:t>
            </w:r>
          </w:p>
          <w:p>
            <w:pPr>
              <w:spacing w:line="420" w:lineRule="exact"/>
              <w:ind w:firstLine="480"/>
              <w:rPr>
                <w:rFonts w:cs="宋体"/>
                <w:color w:val="000000" w:themeColor="text1"/>
                <w:szCs w:val="22"/>
                <w14:textFill>
                  <w14:solidFill>
                    <w14:schemeClr w14:val="tx1"/>
                  </w14:solidFill>
                </w14:textFill>
              </w:rPr>
            </w:pPr>
          </w:p>
          <w:bookmarkEnd w:id="0"/>
          <w:bookmarkEnd w:id="1"/>
          <w:bookmarkEnd w:id="2"/>
          <w:bookmarkEnd w:id="3"/>
        </w:tc>
      </w:tr>
    </w:tbl>
    <w:p>
      <w:pPr>
        <w:widowControl/>
        <w:ind w:firstLine="640"/>
        <w:rPr>
          <w:rFonts w:cs="宋体" w:asciiTheme="minorEastAsia" w:hAnsiTheme="minorEastAsia" w:eastAsiaTheme="minorEastAsia"/>
          <w:b/>
          <w:bCs/>
          <w:color w:val="000000"/>
          <w:sz w:val="32"/>
          <w:szCs w:val="32"/>
        </w:rPr>
      </w:pPr>
    </w:p>
    <w:p>
      <w:pPr>
        <w:widowControl/>
        <w:ind w:firstLine="640"/>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矿山地质环境恢复治理与土地复垦方案评审专家组名单</w:t>
      </w:r>
    </w:p>
    <w:tbl>
      <w:tblPr>
        <w:tblStyle w:val="2"/>
        <w:tblpPr w:leftFromText="180" w:rightFromText="180" w:vertAnchor="page" w:horzAnchor="margin" w:tblpXSpec="center" w:tblpY="2596"/>
        <w:tblW w:w="9923" w:type="dxa"/>
        <w:tblInd w:w="0" w:type="dxa"/>
        <w:tblLayout w:type="autofit"/>
        <w:tblCellMar>
          <w:top w:w="0" w:type="dxa"/>
          <w:left w:w="108" w:type="dxa"/>
          <w:bottom w:w="0" w:type="dxa"/>
          <w:right w:w="108" w:type="dxa"/>
        </w:tblCellMar>
      </w:tblPr>
      <w:tblGrid>
        <w:gridCol w:w="776"/>
        <w:gridCol w:w="1025"/>
        <w:gridCol w:w="3198"/>
        <w:gridCol w:w="1621"/>
        <w:gridCol w:w="1696"/>
        <w:gridCol w:w="1607"/>
      </w:tblGrid>
      <w:tr>
        <w:tblPrEx>
          <w:tblCellMar>
            <w:top w:w="0" w:type="dxa"/>
            <w:left w:w="108" w:type="dxa"/>
            <w:bottom w:w="0" w:type="dxa"/>
            <w:right w:w="108" w:type="dxa"/>
          </w:tblCellMar>
        </w:tblPrEx>
        <w:trPr>
          <w:trHeight w:val="398"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序 号</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姓  名</w:t>
            </w:r>
          </w:p>
        </w:tc>
        <w:tc>
          <w:tcPr>
            <w:tcW w:w="31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工  作  单  位</w:t>
            </w:r>
          </w:p>
        </w:tc>
        <w:tc>
          <w:tcPr>
            <w:tcW w:w="1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专 业</w:t>
            </w:r>
          </w:p>
        </w:tc>
        <w:tc>
          <w:tcPr>
            <w:tcW w:w="16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职称/职务</w:t>
            </w:r>
          </w:p>
        </w:tc>
        <w:tc>
          <w:tcPr>
            <w:tcW w:w="1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联系电话</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余小伍</w:t>
            </w:r>
          </w:p>
        </w:tc>
        <w:tc>
          <w:tcPr>
            <w:tcW w:w="3198"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62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地质</w:t>
            </w:r>
          </w:p>
        </w:tc>
        <w:tc>
          <w:tcPr>
            <w:tcW w:w="169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13769664687</w:t>
            </w:r>
          </w:p>
        </w:tc>
      </w:tr>
      <w:tr>
        <w:tblPrEx>
          <w:tblCellMar>
            <w:top w:w="0" w:type="dxa"/>
            <w:left w:w="108" w:type="dxa"/>
            <w:bottom w:w="0" w:type="dxa"/>
            <w:right w:w="108" w:type="dxa"/>
          </w:tblCellMar>
        </w:tblPrEx>
        <w:trPr>
          <w:trHeight w:val="591" w:hRule="atLeast"/>
        </w:trPr>
        <w:tc>
          <w:tcPr>
            <w:tcW w:w="847"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冯  江</w:t>
            </w:r>
          </w:p>
        </w:tc>
        <w:tc>
          <w:tcPr>
            <w:tcW w:w="3198"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曲靖市生态环境监测站</w:t>
            </w:r>
          </w:p>
        </w:tc>
        <w:tc>
          <w:tcPr>
            <w:tcW w:w="162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水保</w:t>
            </w:r>
          </w:p>
        </w:tc>
        <w:tc>
          <w:tcPr>
            <w:tcW w:w="169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正高级工程师</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15825113379</w:t>
            </w:r>
          </w:p>
        </w:tc>
      </w:tr>
      <w:tr>
        <w:tblPrEx>
          <w:tblCellMar>
            <w:top w:w="0" w:type="dxa"/>
            <w:left w:w="108" w:type="dxa"/>
            <w:bottom w:w="0" w:type="dxa"/>
            <w:right w:w="108" w:type="dxa"/>
          </w:tblCellMar>
        </w:tblPrEx>
        <w:trPr>
          <w:trHeight w:val="699" w:hRule="atLeast"/>
        </w:trPr>
        <w:tc>
          <w:tcPr>
            <w:tcW w:w="847"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ind w:firstLine="0" w:firstLineChars="0"/>
              <w:jc w:val="center"/>
              <w:rPr>
                <w:color w:val="000000"/>
              </w:rPr>
            </w:pPr>
            <w:r>
              <w:rPr>
                <w:rFonts w:hint="eastAsia"/>
              </w:rPr>
              <w:t>王劲松</w:t>
            </w:r>
          </w:p>
        </w:tc>
        <w:tc>
          <w:tcPr>
            <w:tcW w:w="3198" w:type="dxa"/>
            <w:tcBorders>
              <w:top w:val="nil"/>
              <w:left w:val="nil"/>
              <w:bottom w:val="single" w:color="auto" w:sz="4" w:space="0"/>
              <w:right w:val="single" w:color="auto" w:sz="4" w:space="0"/>
            </w:tcBorders>
            <w:shd w:val="clear" w:color="auto" w:fill="auto"/>
            <w:noWrap/>
            <w:vAlign w:val="center"/>
          </w:tcPr>
          <w:p>
            <w:pPr>
              <w:spacing w:line="240" w:lineRule="exact"/>
              <w:ind w:firstLine="0" w:firstLineChars="0"/>
              <w:jc w:val="center"/>
            </w:pPr>
            <w:r>
              <w:rPr>
                <w:rFonts w:hint="eastAsia"/>
              </w:rPr>
              <w:t>曲靖市土壤肥料</w:t>
            </w:r>
          </w:p>
          <w:p>
            <w:pPr>
              <w:spacing w:line="240" w:lineRule="exact"/>
              <w:ind w:firstLine="0" w:firstLineChars="0"/>
              <w:jc w:val="center"/>
              <w:rPr>
                <w:color w:val="000000"/>
              </w:rPr>
            </w:pPr>
            <w:r>
              <w:rPr>
                <w:rFonts w:hint="eastAsia"/>
              </w:rPr>
              <w:t>工作站</w:t>
            </w:r>
          </w:p>
        </w:tc>
        <w:tc>
          <w:tcPr>
            <w:tcW w:w="1621" w:type="dxa"/>
            <w:tcBorders>
              <w:top w:val="nil"/>
              <w:left w:val="nil"/>
              <w:bottom w:val="single" w:color="auto" w:sz="4" w:space="0"/>
              <w:right w:val="single" w:color="auto" w:sz="4" w:space="0"/>
            </w:tcBorders>
            <w:shd w:val="clear" w:color="auto" w:fill="auto"/>
            <w:noWrap/>
            <w:vAlign w:val="center"/>
          </w:tcPr>
          <w:p>
            <w:pPr>
              <w:spacing w:line="240" w:lineRule="exact"/>
              <w:ind w:firstLine="0" w:firstLineChars="0"/>
              <w:jc w:val="center"/>
              <w:rPr>
                <w:color w:val="000000"/>
              </w:rPr>
            </w:pPr>
            <w:r>
              <w:rPr>
                <w:rFonts w:hint="eastAsia"/>
              </w:rPr>
              <w:t>农业资源与环境</w:t>
            </w:r>
          </w:p>
        </w:tc>
        <w:tc>
          <w:tcPr>
            <w:tcW w:w="1696" w:type="dxa"/>
            <w:tcBorders>
              <w:top w:val="nil"/>
              <w:left w:val="nil"/>
              <w:bottom w:val="single" w:color="auto" w:sz="4" w:space="0"/>
              <w:right w:val="single" w:color="auto" w:sz="4" w:space="0"/>
            </w:tcBorders>
            <w:shd w:val="clear" w:color="auto" w:fill="auto"/>
            <w:noWrap/>
            <w:vAlign w:val="center"/>
          </w:tcPr>
          <w:p>
            <w:pPr>
              <w:spacing w:line="240" w:lineRule="exact"/>
              <w:ind w:firstLine="0" w:firstLineChars="0"/>
              <w:jc w:val="center"/>
              <w:rPr>
                <w:color w:val="000000"/>
              </w:rPr>
            </w:pPr>
            <w:r>
              <w:rPr>
                <w:rFonts w:hint="eastAsia"/>
              </w:rPr>
              <w:t>高级工程师</w:t>
            </w:r>
          </w:p>
        </w:tc>
        <w:tc>
          <w:tcPr>
            <w:tcW w:w="1536" w:type="dxa"/>
            <w:tcBorders>
              <w:top w:val="nil"/>
              <w:left w:val="nil"/>
              <w:bottom w:val="single" w:color="auto" w:sz="4" w:space="0"/>
              <w:right w:val="single" w:color="auto" w:sz="4" w:space="0"/>
            </w:tcBorders>
            <w:shd w:val="clear" w:color="auto" w:fill="auto"/>
            <w:noWrap/>
            <w:vAlign w:val="center"/>
          </w:tcPr>
          <w:p>
            <w:pPr>
              <w:autoSpaceDE w:val="0"/>
              <w:autoSpaceDN w:val="0"/>
              <w:spacing w:line="240" w:lineRule="exact"/>
              <w:ind w:left="-228" w:leftChars="-95" w:right="-242" w:rightChars="-101" w:firstLine="0" w:firstLineChars="0"/>
              <w:jc w:val="center"/>
              <w:rPr>
                <w:color w:val="000000"/>
              </w:rPr>
            </w:pPr>
            <w:r>
              <w:rPr>
                <w:rFonts w:hint="eastAsia"/>
              </w:rPr>
              <w:t>13577403290</w:t>
            </w:r>
          </w:p>
        </w:tc>
      </w:tr>
      <w:tr>
        <w:tblPrEx>
          <w:tblCellMar>
            <w:top w:w="0" w:type="dxa"/>
            <w:left w:w="108" w:type="dxa"/>
            <w:bottom w:w="0" w:type="dxa"/>
            <w:right w:w="108" w:type="dxa"/>
          </w:tblCellMar>
        </w:tblPrEx>
        <w:trPr>
          <w:trHeight w:val="554" w:hRule="atLeast"/>
        </w:trPr>
        <w:tc>
          <w:tcPr>
            <w:tcW w:w="847"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曹加乔</w:t>
            </w:r>
          </w:p>
        </w:tc>
        <w:tc>
          <w:tcPr>
            <w:tcW w:w="3198"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62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预算</w:t>
            </w:r>
          </w:p>
        </w:tc>
        <w:tc>
          <w:tcPr>
            <w:tcW w:w="169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13708712441</w:t>
            </w:r>
          </w:p>
        </w:tc>
      </w:tr>
      <w:tr>
        <w:tblPrEx>
          <w:tblCellMar>
            <w:top w:w="0" w:type="dxa"/>
            <w:left w:w="108" w:type="dxa"/>
            <w:bottom w:w="0" w:type="dxa"/>
            <w:right w:w="108" w:type="dxa"/>
          </w:tblCellMar>
        </w:tblPrEx>
        <w:trPr>
          <w:trHeight w:val="703" w:hRule="atLeast"/>
        </w:trPr>
        <w:tc>
          <w:tcPr>
            <w:tcW w:w="847"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段  平</w:t>
            </w:r>
          </w:p>
        </w:tc>
        <w:tc>
          <w:tcPr>
            <w:tcW w:w="3198"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cs="宋体" w:asciiTheme="minorEastAsia" w:hAnsiTheme="minorEastAsia" w:eastAsiaTheme="minorEastAsia"/>
                <w:color w:val="000000"/>
              </w:rPr>
              <w:t>曲靖市水务局</w:t>
            </w:r>
          </w:p>
        </w:tc>
        <w:tc>
          <w:tcPr>
            <w:tcW w:w="162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cs="宋体" w:asciiTheme="minorEastAsia" w:hAnsiTheme="minorEastAsia" w:eastAsiaTheme="minorEastAsia"/>
                <w:color w:val="000000"/>
              </w:rPr>
            </w:pPr>
            <w:r>
              <w:rPr>
                <w:rFonts w:cs="宋体" w:asciiTheme="minorEastAsia" w:hAnsiTheme="minorEastAsia" w:eastAsiaTheme="minorEastAsia"/>
                <w:color w:val="000000"/>
              </w:rPr>
              <w:t>水利水土保持</w:t>
            </w:r>
          </w:p>
        </w:tc>
        <w:tc>
          <w:tcPr>
            <w:tcW w:w="1696" w:type="dxa"/>
            <w:tcBorders>
              <w:top w:val="nil"/>
              <w:left w:val="nil"/>
              <w:bottom w:val="single" w:color="auto" w:sz="4" w:space="0"/>
              <w:right w:val="single" w:color="auto" w:sz="4" w:space="0"/>
            </w:tcBorders>
            <w:shd w:val="clear" w:color="auto" w:fill="auto"/>
            <w:noWrap/>
            <w:vAlign w:val="center"/>
          </w:tcPr>
          <w:p>
            <w:pPr>
              <w:spacing w:line="240" w:lineRule="exact"/>
              <w:ind w:firstLine="0" w:firstLineChars="0"/>
              <w:rPr>
                <w:rFonts w:cs="宋体" w:asciiTheme="minorEastAsia" w:hAnsiTheme="minorEastAsia" w:eastAsiaTheme="minorEastAsia"/>
                <w:color w:val="000000"/>
              </w:rPr>
            </w:pPr>
            <w:r>
              <w:rPr>
                <w:rFonts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15924991166</w:t>
            </w:r>
          </w:p>
        </w:tc>
      </w:tr>
    </w:tbl>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8154DD"/>
    <w:rsid w:val="000109A7"/>
    <w:rsid w:val="008154DD"/>
    <w:rsid w:val="2EF9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宋体" w:hAnsi="宋体" w:eastAsia="宋体" w:cs="Times New Roman"/>
      <w:snapToGrid w:val="0"/>
      <w:kern w:val="0"/>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3011</Words>
  <Characters>3285</Characters>
  <Lines>24</Lines>
  <Paragraphs>6</Paragraphs>
  <TotalTime>0</TotalTime>
  <ScaleCrop>false</ScaleCrop>
  <LinksUpToDate>false</LinksUpToDate>
  <CharactersWithSpaces>3304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2023-06-07T08:53:00Z</dcterms:created>
  <dc:creator>2442400364@qq.com</dc:creator>
  <cp:lastModifiedBy>WPS_1577147775</cp:lastModifiedBy>
  <dcterms:modified xsi:type="dcterms:W3CDTF">2024-07-27T07:57:27Z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FA7E7CFA8C924FCD8CBAAAB2CCC1E7FB_13</vt:lpwstr>
  </property>
</Properties>
</file>