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0C20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Arial Unicode MS" w:cs="Times New Roman"/>
          <w:spacing w:val="-6"/>
          <w:sz w:val="32"/>
          <w:szCs w:val="32"/>
          <w:u w:val="none"/>
          <w:lang w:val="en-US" w:eastAsia="zh-CN"/>
        </w:rPr>
      </w:pPr>
      <w:r>
        <w:rPr>
          <w:rFonts w:hint="default" w:ascii="Times New Roman" w:hAnsi="Times New Roman" w:eastAsia="方正小标宋_GBK" w:cs="Times New Roman"/>
        </w:rPr>
        <w:pict>
          <v:shape id="_x0000_i1025" o:spt="136" type="#_x0000_t136" style="height:48pt;width:415.5pt;" fillcolor="#FF0000" filled="t" stroked="t" coordsize="21600,21600" adj="10800">
            <v:path/>
            <v:fill on="t" color2="#FFFFFF" focussize="0,0"/>
            <v:stroke color="#FF0000"/>
            <v:imagedata o:title=""/>
            <o:lock v:ext="edit" aspectratio="f"/>
            <v:textpath on="t" fitshape="t" fitpath="t" trim="t" xscale="f" string="云南麒麟产业园区管理委员会&#10;" style="font-family:方正小标宋_GBK;font-size:36pt;v-text-align:center;"/>
            <w10:wrap type="none"/>
            <w10:anchorlock/>
          </v:shape>
        </w:pict>
      </w:r>
    </w:p>
    <w:p w14:paraId="33E9FFDD">
      <w:pPr>
        <w:spacing w:line="600" w:lineRule="exact"/>
        <w:jc w:val="right"/>
        <w:rPr>
          <w:rFonts w:hint="default" w:ascii="Times New Roman" w:hAnsi="Times New Roman" w:eastAsia="Arial Unicode MS" w:cs="Times New Roman"/>
          <w:spacing w:val="-6"/>
          <w:sz w:val="44"/>
          <w:szCs w:val="44"/>
        </w:rPr>
      </w:pPr>
      <w:r>
        <w:rPr>
          <w:rFonts w:hint="default" w:ascii="Times New Roman" w:hAnsi="Times New Roman" w:eastAsia="方正楷体_GBK" w:cs="Times New Roman"/>
        </w:rPr>
        <mc:AlternateContent>
          <mc:Choice Requires="wps">
            <w:drawing>
              <wp:anchor distT="0" distB="0" distL="114300" distR="114300" simplePos="0" relativeHeight="251660288" behindDoc="0" locked="0" layoutInCell="1" allowOverlap="1">
                <wp:simplePos x="0" y="0"/>
                <wp:positionH relativeFrom="column">
                  <wp:posOffset>-31115</wp:posOffset>
                </wp:positionH>
                <wp:positionV relativeFrom="paragraph">
                  <wp:posOffset>191135</wp:posOffset>
                </wp:positionV>
                <wp:extent cx="5449570" cy="13335"/>
                <wp:effectExtent l="0" t="0" r="0" b="0"/>
                <wp:wrapNone/>
                <wp:docPr id="3" name="直接连接符 3"/>
                <wp:cNvGraphicFramePr/>
                <a:graphic xmlns:a="http://schemas.openxmlformats.org/drawingml/2006/main">
                  <a:graphicData uri="http://schemas.microsoft.com/office/word/2010/wordprocessingShape">
                    <wps:wsp>
                      <wps:cNvCnPr/>
                      <wps:spPr>
                        <a:xfrm flipV="1">
                          <a:off x="0" y="0"/>
                          <a:ext cx="5449570" cy="13335"/>
                        </a:xfrm>
                        <a:prstGeom prst="line">
                          <a:avLst/>
                        </a:prstGeom>
                        <a:ln w="28575">
                          <a:solidFill>
                            <a:srgbClr val="FF0000"/>
                          </a:solidFill>
                          <a:headEnd type="non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2.45pt;margin-top:15.05pt;height:1.05pt;width:429.1pt;z-index:251660288;mso-width-relative:page;mso-height-relative:page;" filled="f" stroked="t" coordsize="21600,21600" o:gfxdata="UEsDBAoAAAAAAIdO4kAAAAAAAAAAAAAAAAAEAAAAZHJzL1BLAwQUAAAACACHTuJAYdn6edoAAAAI&#10;AQAADwAAAGRycy9kb3ducmV2LnhtbE2PUUvDMBSF3wX/Q7iCb1vS1o1amw5RFAQZbBN9zZrYRpOb&#10;0mTr9Nd7fdLHc8/hnO/Wq5N37GjGaANKyOYCmME2aIudhJfdw6wEFpNCrVxAI+HLRFg152e1qnSY&#10;cGOO29QxKsFYKQl9SkPFeWx741Wch8Egee9h9CqRHDuuRzVRuXc8F2LJvbJIC70azF1v2s/twUvo&#10;Hpevt/x5Uy7erFtPu++nD3s/SHl5kYkbYMmc0l8YfvEJHRpi2ocD6sichNnVNSUlFCIDRn65KApg&#10;ezrkOfCm5v8faH4AUEsDBBQAAAAIAIdO4kBFUpGFFAIAABQEAAAOAAAAZHJzL2Uyb0RvYy54bWyt&#10;U7uOEzEU7ZH4B8s9mTw2bBhlssWG0CCIxKO/8dgzlvyS7c0kP8EPINFBRbk9f8PuZ+y1ZwiwNClw&#10;YV1fXx/fc3y8vDpoRfbcB2lNRSejMSXcMFtL01T0w/vNswUlIYKpQVnDK3rkgV6tnj5Zdq7kU9ta&#10;VXNPEMSEsnMVbWN0ZVEE1nINYWQdN7gprNcQcembovbQIbpWxXQ8fl501tfOW8ZDwOy636QDoj8H&#10;0AohGV9bdqO5iT2q5woiUgqtdIGucrdCcBbfChF4JKqiyDTmGS/BeJfmYrWEsvHgWsmGFuCcFh5x&#10;0iANXnqCWkMEcuPlP1BaMm+DFXHErC56IlkRZDEZP9LmXQuOZy4odXAn0cP/g2Vv9ltPZF3RGSUG&#10;ND743efbn5++3v/4gvPd929klkTqXCix9tps/bAKbusT44Pwmggl3Ud0U9YAWZFDlvh4kpgfImGY&#10;nF9cvJhfovoM9yaz2Wye0IseJsE5H+IrbjVJQUWVNEkBKGH/OsS+9FdJShu7kUphHkplSFfR6WJ+&#10;OUd4QGsKtASG2iG9YBpKQDXoeRZ9hgxWyTodT6eDb3bXypM9oFM2mzGOobO/ytLdawhtX5e3UhmU&#10;Wkb8Fkrqii7S4cFaLYf6palJPDqU1uCPoqlLzWtKFMdmUpQBIkh1TiVqpQxKll6kf4MU7Wx9zE+T&#10;82iWLOpg7OTGP9f59O/PvHo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dn6edoAAAAIAQAADwAA&#10;AAAAAAABACAAAAAiAAAAZHJzL2Rvd25yZXYueG1sUEsBAhQAFAAAAAgAh07iQEVSkYUUAgAAFAQA&#10;AA4AAAAAAAAAAQAgAAAAKQEAAGRycy9lMm9Eb2MueG1sUEsFBgAAAAAGAAYAWQEAAK8FAAAAAA==&#10;">
                <v:fill on="f" focussize="0,0"/>
                <v:stroke weight="2.25pt" color="#FF0000 [3200]" miterlimit="8" joinstyle="miter"/>
                <v:imagedata o:title=""/>
                <o:lock v:ext="edit" aspectratio="f"/>
              </v:line>
            </w:pict>
          </mc:Fallback>
        </mc:AlternateContent>
      </w:r>
    </w:p>
    <w:p w14:paraId="49EFABD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Times New Roman" w:hAnsi="Times New Roman" w:eastAsia="方正仿宋_GBK" w:cs="Times New Roman"/>
          <w:sz w:val="32"/>
          <w:szCs w:val="32"/>
          <w:lang w:val="en-US" w:eastAsia="zh-CN"/>
        </w:rPr>
      </w:pPr>
    </w:p>
    <w:p w14:paraId="39D5C46F">
      <w:pPr>
        <w:pStyle w:val="2"/>
        <w:rPr>
          <w:rFonts w:hint="default"/>
          <w:lang w:val="en-US" w:eastAsia="zh-CN"/>
        </w:rPr>
      </w:pPr>
    </w:p>
    <w:p w14:paraId="42ACA697">
      <w:pPr>
        <w:spacing w:line="600" w:lineRule="exact"/>
        <w:jc w:val="center"/>
        <w:rPr>
          <w:rFonts w:hint="eastAsia" w:ascii="方正小标宋_GBK" w:hAnsi="方正小标宋_GBK" w:eastAsia="方正小标宋_GBK" w:cs="方正小标宋_GBK"/>
          <w:spacing w:val="0"/>
          <w:sz w:val="44"/>
          <w:szCs w:val="44"/>
          <w:lang w:val="en-US" w:eastAsia="zh-CN"/>
        </w:rPr>
      </w:pPr>
      <w:r>
        <w:rPr>
          <w:rFonts w:hint="eastAsia" w:ascii="方正小标宋_GBK" w:hAnsi="方正小标宋_GBK" w:eastAsia="方正小标宋_GBK" w:cs="方正小标宋_GBK"/>
          <w:spacing w:val="0"/>
          <w:sz w:val="44"/>
          <w:szCs w:val="44"/>
          <w:lang w:val="en-US" w:eastAsia="zh-CN"/>
        </w:rPr>
        <w:t>关于云南麒麟产业园区越州化工园区规划面积调整后周边土地安全控制线有关情况的</w:t>
      </w:r>
    </w:p>
    <w:p w14:paraId="4F07AECB">
      <w:pPr>
        <w:spacing w:line="600" w:lineRule="exact"/>
        <w:jc w:val="center"/>
        <w:rPr>
          <w:rFonts w:hint="eastAsia" w:ascii="方正小标宋_GBK" w:hAnsi="方正小标宋_GBK" w:eastAsia="方正小标宋_GBK" w:cs="方正小标宋_GBK"/>
          <w:spacing w:val="0"/>
          <w:sz w:val="44"/>
          <w:szCs w:val="44"/>
          <w:lang w:val="en-US" w:eastAsia="zh-CN"/>
        </w:rPr>
      </w:pPr>
      <w:r>
        <w:rPr>
          <w:rFonts w:hint="eastAsia" w:ascii="方正小标宋_GBK" w:hAnsi="方正小标宋_GBK" w:eastAsia="方正小标宋_GBK" w:cs="方正小标宋_GBK"/>
          <w:spacing w:val="0"/>
          <w:sz w:val="44"/>
          <w:szCs w:val="44"/>
          <w:lang w:val="en-US" w:eastAsia="zh-CN"/>
        </w:rPr>
        <w:t>通知</w:t>
      </w:r>
    </w:p>
    <w:p w14:paraId="5FB4E5CB">
      <w:pPr>
        <w:pStyle w:val="10"/>
        <w:spacing w:before="111" w:line="222" w:lineRule="auto"/>
        <w:rPr>
          <w:rFonts w:hint="eastAsia" w:ascii="Times New Roman" w:hAnsi="Times New Roman" w:eastAsia="方正仿宋_GBK" w:cs="Times New Roman"/>
          <w:kern w:val="2"/>
          <w:sz w:val="32"/>
          <w:szCs w:val="32"/>
          <w:lang w:val="en-US" w:eastAsia="zh-CN" w:bidi="ar-SA"/>
        </w:rPr>
      </w:pPr>
    </w:p>
    <w:p w14:paraId="240BCB79">
      <w:pPr>
        <w:pStyle w:val="10"/>
        <w:spacing w:before="111" w:line="222" w:lineRule="auto"/>
        <w:rPr>
          <w:rFonts w:hint="eastAsia" w:ascii="Times New Roman" w:hAnsi="Times New Roman" w:eastAsia="方正仿宋_GBK" w:cs="Times New Roman"/>
          <w:kern w:val="2"/>
          <w:sz w:val="32"/>
          <w:szCs w:val="32"/>
          <w:lang w:val="en-US" w:eastAsia="zh-CN" w:bidi="ar-SA"/>
        </w:rPr>
      </w:pPr>
    </w:p>
    <w:p w14:paraId="212AFA17">
      <w:pPr>
        <w:pStyle w:val="10"/>
        <w:keepNext w:val="0"/>
        <w:keepLines w:val="0"/>
        <w:pageBreakBefore w:val="0"/>
        <w:kinsoku/>
        <w:wordWrap/>
        <w:overflowPunct w:val="0"/>
        <w:topLinePunct/>
        <w:autoSpaceDE/>
        <w:autoSpaceDN/>
        <w:bidi w:val="0"/>
        <w:spacing w:line="600" w:lineRule="exact"/>
        <w:ind w:firstLine="0" w:firstLineChars="0"/>
        <w:rPr>
          <w:rFonts w:hint="default"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各科室（中心）、园区各企业</w:t>
      </w:r>
      <w:r>
        <w:rPr>
          <w:rFonts w:hint="default" w:ascii="Times New Roman" w:hAnsi="Times New Roman" w:eastAsia="方正仿宋_GBK" w:cs="Times New Roman"/>
          <w:kern w:val="2"/>
          <w:sz w:val="32"/>
          <w:szCs w:val="32"/>
          <w:lang w:val="en-US" w:eastAsia="zh-CN" w:bidi="ar-SA"/>
        </w:rPr>
        <w:t>：</w:t>
      </w:r>
    </w:p>
    <w:p w14:paraId="79687D1F">
      <w:pPr>
        <w:pStyle w:val="10"/>
        <w:keepNext w:val="0"/>
        <w:keepLines w:val="0"/>
        <w:pageBreakBefore w:val="0"/>
        <w:widowControl/>
        <w:kinsoku/>
        <w:wordWrap/>
        <w:overflowPunct w:val="0"/>
        <w:topLinePunct/>
        <w:autoSpaceDE/>
        <w:autoSpaceDN/>
        <w:bidi w:val="0"/>
        <w:adjustRightInd w:val="0"/>
        <w:snapToGrid w:val="0"/>
        <w:spacing w:line="600" w:lineRule="exact"/>
        <w:ind w:right="0" w:firstLine="640" w:firstLineChars="200"/>
        <w:textAlignment w:val="baseline"/>
        <w:rPr>
          <w:rFonts w:hint="default"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按照市人民政府批复的《</w:t>
      </w:r>
      <w:r>
        <w:rPr>
          <w:rFonts w:hint="default" w:ascii="Times New Roman" w:hAnsi="Times New Roman" w:eastAsia="方正仿宋_GBK" w:cs="Times New Roman"/>
          <w:kern w:val="2"/>
          <w:sz w:val="32"/>
          <w:szCs w:val="32"/>
          <w:lang w:val="en-US" w:eastAsia="zh-CN" w:bidi="ar-SA"/>
        </w:rPr>
        <w:t>云南麒麟产业园区越州化工园区</w:t>
      </w:r>
      <w:r>
        <w:rPr>
          <w:rFonts w:hint="eastAsia" w:ascii="Times New Roman" w:hAnsi="Times New Roman" w:eastAsia="方正仿宋_GBK" w:cs="Times New Roman"/>
          <w:kern w:val="2"/>
          <w:sz w:val="32"/>
          <w:szCs w:val="32"/>
          <w:lang w:val="en-US" w:eastAsia="zh-CN" w:bidi="ar-SA"/>
        </w:rPr>
        <w:t>总体规划修编（2024—2035年）》，越州化工园区规划</w:t>
      </w:r>
      <w:r>
        <w:rPr>
          <w:rFonts w:hint="default" w:ascii="Times New Roman" w:hAnsi="Times New Roman" w:eastAsia="方正仿宋_GBK" w:cs="Times New Roman"/>
          <w:kern w:val="2"/>
          <w:sz w:val="32"/>
          <w:szCs w:val="32"/>
          <w:lang w:val="en-US" w:eastAsia="zh-CN" w:bidi="ar-SA"/>
        </w:rPr>
        <w:t>范围发生变化</w:t>
      </w:r>
      <w:r>
        <w:rPr>
          <w:rFonts w:hint="eastAsia" w:ascii="Times New Roman" w:hAnsi="Times New Roman" w:eastAsia="方正仿宋_GBK" w:cs="Times New Roman"/>
          <w:kern w:val="2"/>
          <w:sz w:val="32"/>
          <w:szCs w:val="32"/>
          <w:lang w:val="en-US" w:eastAsia="zh-CN" w:bidi="ar-SA"/>
        </w:rPr>
        <w:t>，规划面积</w:t>
      </w:r>
      <w:r>
        <w:rPr>
          <w:rFonts w:hint="default" w:ascii="Times New Roman" w:hAnsi="Times New Roman" w:eastAsia="方正仿宋_GBK" w:cs="Times New Roman"/>
          <w:kern w:val="2"/>
          <w:sz w:val="32"/>
          <w:szCs w:val="32"/>
          <w:lang w:val="en-US" w:eastAsia="zh-CN" w:bidi="ar-SA"/>
        </w:rPr>
        <w:t>由</w:t>
      </w:r>
      <w:r>
        <w:rPr>
          <w:rFonts w:hint="eastAsia" w:ascii="Times New Roman" w:hAnsi="Times New Roman" w:eastAsia="方正仿宋_GBK" w:cs="Times New Roman"/>
          <w:kern w:val="2"/>
          <w:sz w:val="32"/>
          <w:szCs w:val="32"/>
          <w:lang w:val="en-US" w:eastAsia="zh-CN" w:bidi="ar-SA"/>
        </w:rPr>
        <w:t>原</w:t>
      </w:r>
      <w:r>
        <w:rPr>
          <w:rFonts w:hint="default" w:ascii="Times New Roman" w:hAnsi="Times New Roman" w:eastAsia="方正仿宋_GBK" w:cs="Times New Roman"/>
          <w:kern w:val="2"/>
          <w:sz w:val="32"/>
          <w:szCs w:val="32"/>
          <w:lang w:val="en-US" w:eastAsia="zh-CN" w:bidi="ar-SA"/>
        </w:rPr>
        <w:t>3.79平方公里</w:t>
      </w:r>
      <w:r>
        <w:rPr>
          <w:rFonts w:hint="eastAsia" w:ascii="Times New Roman" w:hAnsi="Times New Roman" w:eastAsia="方正仿宋_GBK" w:cs="Times New Roman"/>
          <w:kern w:val="2"/>
          <w:sz w:val="32"/>
          <w:szCs w:val="32"/>
          <w:lang w:val="en-US" w:eastAsia="zh-CN" w:bidi="ar-SA"/>
        </w:rPr>
        <w:t>变更为</w:t>
      </w:r>
      <w:r>
        <w:rPr>
          <w:rFonts w:hint="default" w:ascii="Times New Roman" w:hAnsi="Times New Roman" w:eastAsia="方正仿宋_GBK" w:cs="Times New Roman"/>
          <w:kern w:val="2"/>
          <w:sz w:val="32"/>
          <w:szCs w:val="32"/>
          <w:lang w:val="en-US" w:eastAsia="zh-CN" w:bidi="ar-SA"/>
        </w:rPr>
        <w:t>3.29平方公里，分东部和西部两个区块，中间相隔一块山体林地，直线距离约300米</w:t>
      </w:r>
      <w:r>
        <w:rPr>
          <w:rFonts w:hint="eastAsia" w:ascii="Times New Roman" w:hAnsi="Times New Roman"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西部区块西至向桂大道，北侧和东侧以现状盛凯焦化和众一精细化工两家企业范围为界</w:t>
      </w:r>
      <w:r>
        <w:rPr>
          <w:rFonts w:hint="eastAsia" w:ascii="Times New Roman" w:hAnsi="Times New Roman"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南至干冲西</w:t>
      </w:r>
      <w:r>
        <w:rPr>
          <w:rFonts w:hint="eastAsia" w:ascii="Times New Roman" w:hAnsi="Times New Roman" w:eastAsia="方正仿宋_GBK" w:cs="Times New Roman"/>
          <w:kern w:val="2"/>
          <w:sz w:val="32"/>
          <w:szCs w:val="32"/>
          <w:lang w:val="en-US" w:eastAsia="zh-CN" w:bidi="ar-SA"/>
        </w:rPr>
        <w:t>路；</w:t>
      </w:r>
      <w:r>
        <w:rPr>
          <w:rFonts w:hint="default" w:ascii="Times New Roman" w:hAnsi="Times New Roman" w:eastAsia="方正仿宋_GBK" w:cs="Times New Roman"/>
          <w:kern w:val="2"/>
          <w:sz w:val="32"/>
          <w:szCs w:val="32"/>
          <w:lang w:val="en-US" w:eastAsia="zh-CN" w:bidi="ar-SA"/>
        </w:rPr>
        <w:t>东部区块北至曲恩一级公路，西至山脚，南至干海子，东至曲砚高速以西约750米处</w:t>
      </w:r>
      <w:r>
        <w:rPr>
          <w:rFonts w:hint="eastAsia" w:ascii="Times New Roman" w:hAnsi="Times New Roman"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中国安全生产科学研究院根据</w:t>
      </w:r>
      <w:r>
        <w:rPr>
          <w:rFonts w:hint="eastAsia" w:ascii="Times New Roman" w:hAnsi="Times New Roman" w:eastAsia="方正仿宋_GBK" w:cs="Times New Roman"/>
          <w:kern w:val="2"/>
          <w:sz w:val="32"/>
          <w:szCs w:val="32"/>
          <w:lang w:val="en-US" w:eastAsia="zh-CN" w:bidi="ar-SA"/>
        </w:rPr>
        <w:t>变更</w:t>
      </w:r>
      <w:r>
        <w:rPr>
          <w:rFonts w:hint="default" w:ascii="Times New Roman" w:hAnsi="Times New Roman" w:eastAsia="方正仿宋_GBK" w:cs="Times New Roman"/>
          <w:kern w:val="2"/>
          <w:sz w:val="32"/>
          <w:szCs w:val="32"/>
          <w:lang w:val="en-US" w:eastAsia="zh-CN" w:bidi="ar-SA"/>
        </w:rPr>
        <w:t>情况对《云南麒麟产业园区越州化工园区整体性安全风险评估报告》相关内容进行</w:t>
      </w:r>
      <w:r>
        <w:rPr>
          <w:rFonts w:hint="eastAsia" w:ascii="Times New Roman" w:hAnsi="Times New Roman" w:eastAsia="方正仿宋_GBK" w:cs="Times New Roman"/>
          <w:kern w:val="2"/>
          <w:sz w:val="32"/>
          <w:szCs w:val="32"/>
          <w:lang w:val="en-US" w:eastAsia="zh-CN" w:bidi="ar-SA"/>
        </w:rPr>
        <w:t>了</w:t>
      </w:r>
      <w:r>
        <w:rPr>
          <w:rFonts w:hint="default" w:ascii="Times New Roman" w:hAnsi="Times New Roman" w:eastAsia="方正仿宋_GBK" w:cs="Times New Roman"/>
          <w:kern w:val="2"/>
          <w:sz w:val="32"/>
          <w:szCs w:val="32"/>
          <w:lang w:val="en-US" w:eastAsia="zh-CN" w:bidi="ar-SA"/>
        </w:rPr>
        <w:t>修订，</w:t>
      </w:r>
      <w:r>
        <w:rPr>
          <w:rFonts w:hint="eastAsia" w:ascii="Times New Roman" w:hAnsi="Times New Roman" w:eastAsia="方正仿宋_GBK" w:cs="Times New Roman"/>
          <w:kern w:val="2"/>
          <w:sz w:val="32"/>
          <w:szCs w:val="32"/>
          <w:lang w:val="en-US" w:eastAsia="zh-CN" w:bidi="ar-SA"/>
        </w:rPr>
        <w:t>但</w:t>
      </w:r>
      <w:r>
        <w:rPr>
          <w:rFonts w:hint="default" w:ascii="Times New Roman" w:hAnsi="Times New Roman" w:eastAsia="方正仿宋_GBK" w:cs="Times New Roman"/>
          <w:kern w:val="2"/>
          <w:sz w:val="32"/>
          <w:szCs w:val="32"/>
          <w:lang w:val="en-US" w:eastAsia="zh-CN" w:bidi="ar-SA"/>
        </w:rPr>
        <w:t>整体性风险评估结论未发生变化，</w:t>
      </w:r>
      <w:r>
        <w:rPr>
          <w:rFonts w:hint="eastAsia" w:ascii="Times New Roman" w:hAnsi="Times New Roman" w:eastAsia="方正仿宋_GBK" w:cs="Times New Roman"/>
          <w:kern w:val="2"/>
          <w:sz w:val="32"/>
          <w:szCs w:val="32"/>
          <w:lang w:val="en-US" w:eastAsia="zh-CN" w:bidi="ar-SA"/>
        </w:rPr>
        <w:t>且</w:t>
      </w:r>
      <w:r>
        <w:rPr>
          <w:rFonts w:hint="default" w:ascii="Times New Roman" w:hAnsi="Times New Roman" w:eastAsia="方正仿宋_GBK" w:cs="Times New Roman"/>
          <w:kern w:val="2"/>
          <w:sz w:val="32"/>
          <w:szCs w:val="32"/>
          <w:lang w:val="en-US" w:eastAsia="zh-CN" w:bidi="ar-SA"/>
        </w:rPr>
        <w:t>周边土地安全控制线</w:t>
      </w:r>
      <w:r>
        <w:rPr>
          <w:rFonts w:hint="eastAsia" w:ascii="Times New Roman" w:hAnsi="Times New Roman" w:eastAsia="方正仿宋_GBK" w:cs="Times New Roman"/>
          <w:kern w:val="2"/>
          <w:sz w:val="32"/>
          <w:szCs w:val="32"/>
          <w:lang w:val="en-US" w:eastAsia="zh-CN" w:bidi="ar-SA"/>
        </w:rPr>
        <w:t>划定范围不变，依然按照之前的规定执行</w:t>
      </w:r>
      <w:r>
        <w:rPr>
          <w:rFonts w:hint="default" w:ascii="Times New Roman" w:hAnsi="Times New Roman" w:eastAsia="方正仿宋_GBK" w:cs="Times New Roman"/>
          <w:kern w:val="2"/>
          <w:sz w:val="32"/>
          <w:szCs w:val="32"/>
          <w:lang w:val="en-US" w:eastAsia="zh-CN" w:bidi="ar-SA"/>
        </w:rPr>
        <w:t>。</w:t>
      </w:r>
    </w:p>
    <w:p w14:paraId="17B77C2E">
      <w:pPr>
        <w:pStyle w:val="10"/>
        <w:keepNext w:val="0"/>
        <w:keepLines w:val="0"/>
        <w:pageBreakBefore w:val="0"/>
        <w:widowControl/>
        <w:kinsoku/>
        <w:wordWrap/>
        <w:overflowPunct w:val="0"/>
        <w:topLinePunct/>
        <w:autoSpaceDE/>
        <w:autoSpaceDN/>
        <w:bidi w:val="0"/>
        <w:adjustRightInd w:val="0"/>
        <w:snapToGrid w:val="0"/>
        <w:spacing w:line="600" w:lineRule="exact"/>
        <w:ind w:right="0" w:firstLine="640" w:firstLineChars="200"/>
        <w:textAlignment w:val="baseline"/>
        <w:rPr>
          <w:rFonts w:hint="default" w:ascii="Times New Roman" w:hAnsi="Times New Roman" w:eastAsia="方正仿宋_GBK" w:cs="Times New Roman"/>
          <w:kern w:val="2"/>
          <w:sz w:val="32"/>
          <w:szCs w:val="32"/>
          <w:lang w:val="en-US" w:eastAsia="zh-CN" w:bidi="ar-SA"/>
        </w:rPr>
      </w:pPr>
    </w:p>
    <w:p w14:paraId="50253E7A">
      <w:pPr>
        <w:pStyle w:val="10"/>
        <w:keepNext w:val="0"/>
        <w:keepLines w:val="0"/>
        <w:pageBreakBefore w:val="0"/>
        <w:widowControl/>
        <w:kinsoku/>
        <w:wordWrap/>
        <w:overflowPunct w:val="0"/>
        <w:topLinePunct/>
        <w:autoSpaceDE/>
        <w:autoSpaceDN/>
        <w:bidi w:val="0"/>
        <w:adjustRightInd w:val="0"/>
        <w:snapToGrid w:val="0"/>
        <w:spacing w:line="600" w:lineRule="exact"/>
        <w:ind w:right="0" w:firstLine="640" w:firstLineChars="200"/>
        <w:textAlignment w:val="baseline"/>
        <w:rPr>
          <w:rFonts w:hint="default" w:ascii="Times New Roman" w:hAnsi="Times New Roman" w:eastAsia="方正仿宋_GBK" w:cs="Times New Roman"/>
          <w:kern w:val="2"/>
          <w:sz w:val="32"/>
          <w:szCs w:val="32"/>
          <w:lang w:val="en-US" w:eastAsia="zh-CN" w:bidi="ar-SA"/>
        </w:rPr>
      </w:pPr>
    </w:p>
    <w:p w14:paraId="5C4D3345">
      <w:pPr>
        <w:pStyle w:val="10"/>
        <w:keepNext w:val="0"/>
        <w:keepLines w:val="0"/>
        <w:pageBreakBefore w:val="0"/>
        <w:widowControl/>
        <w:kinsoku/>
        <w:wordWrap/>
        <w:overflowPunct w:val="0"/>
        <w:topLinePunct/>
        <w:autoSpaceDE/>
        <w:autoSpaceDN/>
        <w:bidi w:val="0"/>
        <w:adjustRightInd w:val="0"/>
        <w:snapToGrid w:val="0"/>
        <w:spacing w:line="600" w:lineRule="exact"/>
        <w:ind w:right="0" w:firstLine="640" w:firstLineChars="200"/>
        <w:textAlignment w:val="baseline"/>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附件：1.云南麒麟产业园区越州化工园区</w:t>
      </w:r>
      <w:r>
        <w:rPr>
          <w:rFonts w:hint="eastAsia" w:ascii="Times New Roman" w:hAnsi="Times New Roman" w:eastAsia="方正仿宋_GBK" w:cs="Times New Roman"/>
          <w:kern w:val="2"/>
          <w:sz w:val="32"/>
          <w:szCs w:val="32"/>
          <w:lang w:val="en-US" w:eastAsia="zh-CN" w:bidi="ar-SA"/>
        </w:rPr>
        <w:t>原</w:t>
      </w:r>
      <w:r>
        <w:rPr>
          <w:rFonts w:hint="default" w:ascii="Times New Roman" w:hAnsi="Times New Roman" w:eastAsia="方正仿宋_GBK" w:cs="Times New Roman"/>
          <w:kern w:val="2"/>
          <w:sz w:val="32"/>
          <w:szCs w:val="32"/>
          <w:lang w:val="en-US" w:eastAsia="zh-CN" w:bidi="ar-SA"/>
        </w:rPr>
        <w:t>周边土地规划</w:t>
      </w:r>
    </w:p>
    <w:p w14:paraId="48A6732F">
      <w:pPr>
        <w:pStyle w:val="10"/>
        <w:keepNext w:val="0"/>
        <w:keepLines w:val="0"/>
        <w:pageBreakBefore w:val="0"/>
        <w:widowControl/>
        <w:kinsoku/>
        <w:wordWrap/>
        <w:overflowPunct w:val="0"/>
        <w:topLinePunct/>
        <w:autoSpaceDE/>
        <w:autoSpaceDN/>
        <w:bidi w:val="0"/>
        <w:adjustRightInd w:val="0"/>
        <w:snapToGrid w:val="0"/>
        <w:spacing w:line="600" w:lineRule="exact"/>
        <w:ind w:right="0" w:firstLine="1600" w:firstLineChars="500"/>
        <w:textAlignment w:val="baseline"/>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安全控制线示意图</w:t>
      </w:r>
    </w:p>
    <w:p w14:paraId="4ECC7B9A">
      <w:pPr>
        <w:pStyle w:val="10"/>
        <w:keepNext w:val="0"/>
        <w:keepLines w:val="0"/>
        <w:pageBreakBefore w:val="0"/>
        <w:widowControl/>
        <w:numPr>
          <w:ilvl w:val="0"/>
          <w:numId w:val="0"/>
        </w:numPr>
        <w:kinsoku/>
        <w:wordWrap/>
        <w:overflowPunct w:val="0"/>
        <w:topLinePunct/>
        <w:autoSpaceDE/>
        <w:autoSpaceDN/>
        <w:bidi w:val="0"/>
        <w:adjustRightInd w:val="0"/>
        <w:snapToGrid w:val="0"/>
        <w:spacing w:line="600" w:lineRule="exact"/>
        <w:ind w:right="0" w:rightChars="0" w:firstLine="1600" w:firstLineChars="500"/>
        <w:textAlignment w:val="baseline"/>
        <w:rPr>
          <w:rFonts w:hint="default"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2.</w:t>
      </w:r>
      <w:r>
        <w:rPr>
          <w:rFonts w:hint="default" w:ascii="Times New Roman" w:hAnsi="Times New Roman" w:eastAsia="方正仿宋_GBK" w:cs="Times New Roman"/>
          <w:kern w:val="2"/>
          <w:sz w:val="32"/>
          <w:szCs w:val="32"/>
          <w:lang w:val="en-US" w:eastAsia="zh-CN" w:bidi="ar-SA"/>
        </w:rPr>
        <w:t>云南麒麟产业园区越州化工园区</w:t>
      </w:r>
      <w:r>
        <w:rPr>
          <w:rFonts w:hint="eastAsia" w:ascii="Times New Roman" w:hAnsi="Times New Roman" w:eastAsia="方正仿宋_GBK" w:cs="Times New Roman"/>
          <w:kern w:val="2"/>
          <w:sz w:val="32"/>
          <w:szCs w:val="32"/>
          <w:lang w:val="en-US" w:eastAsia="zh-CN" w:bidi="ar-SA"/>
        </w:rPr>
        <w:t>现</w:t>
      </w:r>
      <w:r>
        <w:rPr>
          <w:rFonts w:hint="default" w:ascii="Times New Roman" w:hAnsi="Times New Roman" w:eastAsia="方正仿宋_GBK" w:cs="Times New Roman"/>
          <w:kern w:val="2"/>
          <w:sz w:val="32"/>
          <w:szCs w:val="32"/>
          <w:lang w:val="en-US" w:eastAsia="zh-CN" w:bidi="ar-SA"/>
        </w:rPr>
        <w:t>周边土地规</w:t>
      </w:r>
    </w:p>
    <w:p w14:paraId="1AF93F8A">
      <w:pPr>
        <w:pStyle w:val="10"/>
        <w:keepNext w:val="0"/>
        <w:keepLines w:val="0"/>
        <w:pageBreakBefore w:val="0"/>
        <w:widowControl/>
        <w:numPr>
          <w:ilvl w:val="0"/>
          <w:numId w:val="0"/>
        </w:numPr>
        <w:kinsoku/>
        <w:wordWrap/>
        <w:overflowPunct w:val="0"/>
        <w:topLinePunct/>
        <w:autoSpaceDE/>
        <w:autoSpaceDN/>
        <w:bidi w:val="0"/>
        <w:adjustRightInd w:val="0"/>
        <w:snapToGrid w:val="0"/>
        <w:spacing w:line="600" w:lineRule="exact"/>
        <w:ind w:right="0" w:rightChars="0" w:firstLine="1600" w:firstLineChars="500"/>
        <w:textAlignment w:val="baseline"/>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划安全控制线示意图</w:t>
      </w:r>
    </w:p>
    <w:p w14:paraId="1CDA8169">
      <w:pPr>
        <w:pStyle w:val="10"/>
        <w:keepNext w:val="0"/>
        <w:keepLines w:val="0"/>
        <w:pageBreakBefore w:val="0"/>
        <w:wordWrap/>
        <w:overflowPunct w:val="0"/>
        <w:topLinePunct w:val="0"/>
        <w:autoSpaceDE/>
        <w:autoSpaceDN/>
        <w:bidi w:val="0"/>
        <w:spacing w:line="600" w:lineRule="exact"/>
        <w:ind w:right="0" w:firstLine="640" w:firstLineChars="200"/>
        <w:rPr>
          <w:rFonts w:hint="default" w:ascii="Times New Roman" w:hAnsi="Times New Roman" w:eastAsia="方正仿宋_GBK" w:cs="Times New Roman"/>
          <w:kern w:val="2"/>
          <w:sz w:val="32"/>
          <w:szCs w:val="32"/>
          <w:lang w:val="en-US" w:eastAsia="zh-CN" w:bidi="ar-SA"/>
        </w:rPr>
      </w:pPr>
    </w:p>
    <w:p w14:paraId="02A61CE4">
      <w:pPr>
        <w:keepNext w:val="0"/>
        <w:keepLines w:val="0"/>
        <w:pageBreakBefore w:val="0"/>
        <w:wordWrap/>
        <w:overflowPunct w:val="0"/>
        <w:autoSpaceDE/>
        <w:autoSpaceDN/>
        <w:bidi w:val="0"/>
        <w:spacing w:line="600" w:lineRule="exact"/>
        <w:rPr>
          <w:rFonts w:hint="default" w:ascii="Times New Roman" w:hAnsi="Times New Roman" w:eastAsia="方正仿宋_GBK" w:cs="Times New Roman"/>
          <w:kern w:val="2"/>
          <w:sz w:val="32"/>
          <w:szCs w:val="32"/>
          <w:lang w:val="en-US" w:eastAsia="zh-CN" w:bidi="ar-SA"/>
        </w:rPr>
      </w:pPr>
    </w:p>
    <w:p w14:paraId="6F40E95D">
      <w:pPr>
        <w:pStyle w:val="10"/>
        <w:keepNext w:val="0"/>
        <w:keepLines w:val="0"/>
        <w:pageBreakBefore w:val="0"/>
        <w:wordWrap/>
        <w:overflowPunct w:val="0"/>
        <w:autoSpaceDE/>
        <w:autoSpaceDN/>
        <w:bidi w:val="0"/>
        <w:spacing w:line="600" w:lineRule="exact"/>
        <w:ind w:firstLine="3840" w:firstLineChars="1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云南麒麟产业园区管理委员会</w:t>
      </w:r>
    </w:p>
    <w:p w14:paraId="1A740F38">
      <w:pPr>
        <w:pStyle w:val="10"/>
        <w:keepNext w:val="0"/>
        <w:keepLines w:val="0"/>
        <w:pageBreakBefore w:val="0"/>
        <w:wordWrap/>
        <w:overflowPunct w:val="0"/>
        <w:autoSpaceDE/>
        <w:autoSpaceDN/>
        <w:bidi w:val="0"/>
        <w:spacing w:line="600" w:lineRule="exact"/>
        <w:ind w:firstLine="4800" w:firstLineChars="1500"/>
        <w:rPr>
          <w:rFonts w:hint="default" w:ascii="Times New Roman" w:hAnsi="Times New Roman" w:eastAsia="方正仿宋_GBK" w:cs="Times New Roman"/>
          <w:kern w:val="2"/>
          <w:sz w:val="32"/>
          <w:szCs w:val="32"/>
          <w:lang w:val="en-US" w:eastAsia="zh-CN" w:bidi="ar-SA"/>
        </w:rPr>
        <w:sectPr>
          <w:footerReference r:id="rId3" w:type="default"/>
          <w:pgSz w:w="12080" w:h="16960"/>
          <w:pgMar w:top="1441" w:right="1812" w:bottom="1290" w:left="1812" w:header="0" w:footer="992" w:gutter="0"/>
          <w:cols w:space="720" w:num="1"/>
        </w:sectPr>
      </w:pPr>
      <w:r>
        <w:rPr>
          <w:rFonts w:hint="default" w:ascii="Times New Roman" w:hAnsi="Times New Roman" w:eastAsia="方正仿宋_GBK" w:cs="Times New Roman"/>
          <w:kern w:val="2"/>
          <w:sz w:val="32"/>
          <w:szCs w:val="32"/>
          <w:lang w:val="en-US" w:eastAsia="zh-CN" w:bidi="ar-SA"/>
        </w:rPr>
        <w:t>2024年11月1</w:t>
      </w:r>
      <w:r>
        <w:rPr>
          <w:rFonts w:hint="eastAsia" w:ascii="Times New Roman" w:hAnsi="Times New Roman" w:eastAsia="方正仿宋_GBK" w:cs="Times New Roman"/>
          <w:kern w:val="2"/>
          <w:sz w:val="32"/>
          <w:szCs w:val="32"/>
          <w:lang w:val="en-US" w:eastAsia="zh-CN" w:bidi="ar-SA"/>
        </w:rPr>
        <w:t>0</w:t>
      </w:r>
      <w:r>
        <w:rPr>
          <w:rFonts w:hint="default" w:ascii="Times New Roman" w:hAnsi="Times New Roman" w:eastAsia="方正仿宋_GBK" w:cs="Times New Roman"/>
          <w:kern w:val="2"/>
          <w:sz w:val="32"/>
          <w:szCs w:val="32"/>
          <w:lang w:val="en-US" w:eastAsia="zh-CN" w:bidi="ar-SA"/>
        </w:rPr>
        <w:t>日</w:t>
      </w:r>
    </w:p>
    <w:p w14:paraId="5A740E5E">
      <w:pPr>
        <w:pStyle w:val="10"/>
        <w:keepNext w:val="0"/>
        <w:keepLines w:val="0"/>
        <w:pageBreakBefore w:val="0"/>
        <w:widowControl/>
        <w:kinsoku/>
        <w:wordWrap/>
        <w:overflowPunct w:val="0"/>
        <w:topLinePunct/>
        <w:autoSpaceDE/>
        <w:autoSpaceDN/>
        <w:bidi w:val="0"/>
        <w:adjustRightInd w:val="0"/>
        <w:snapToGrid w:val="0"/>
        <w:spacing w:line="600" w:lineRule="exact"/>
        <w:ind w:right="0"/>
        <w:textAlignment w:val="baseline"/>
      </w:pPr>
      <w:r>
        <w:rPr>
          <w:rFonts w:hint="eastAsia" w:ascii="黑体" w:hAnsi="黑体" w:eastAsia="黑体" w:cs="黑体"/>
          <w:b/>
          <w:bCs/>
          <w:spacing w:val="29"/>
          <w:sz w:val="32"/>
          <w:szCs w:val="32"/>
        </w:rPr>
        <w:t>附件</w:t>
      </w:r>
      <w:r>
        <w:rPr>
          <w:rFonts w:hint="eastAsia" w:ascii="黑体" w:hAnsi="黑体" w:eastAsia="黑体" w:cs="黑体"/>
          <w:b/>
          <w:bCs/>
          <w:spacing w:val="29"/>
          <w:sz w:val="32"/>
          <w:szCs w:val="32"/>
          <w:lang w:val="en-US" w:eastAsia="zh-CN"/>
        </w:rPr>
        <w:t xml:space="preserve">1 </w:t>
      </w:r>
    </w:p>
    <w:p w14:paraId="7EB449B5">
      <w:pPr>
        <w:pStyle w:val="2"/>
        <w:ind w:left="0" w:leftChars="0" w:firstLine="0" w:firstLineChars="0"/>
      </w:pPr>
      <w:r>
        <w:drawing>
          <wp:inline distT="0" distB="0" distL="114300" distR="114300">
            <wp:extent cx="5269230" cy="3622675"/>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rcRect t="6091"/>
                    <a:stretch>
                      <a:fillRect/>
                    </a:stretch>
                  </pic:blipFill>
                  <pic:spPr>
                    <a:xfrm>
                      <a:off x="0" y="0"/>
                      <a:ext cx="5269230" cy="3622675"/>
                    </a:xfrm>
                    <a:prstGeom prst="rect">
                      <a:avLst/>
                    </a:prstGeom>
                    <a:noFill/>
                    <a:ln>
                      <a:noFill/>
                    </a:ln>
                  </pic:spPr>
                </pic:pic>
              </a:graphicData>
            </a:graphic>
          </wp:inline>
        </w:drawing>
      </w:r>
    </w:p>
    <w:p w14:paraId="52DCF713">
      <w:pPr>
        <w:pStyle w:val="2"/>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textAlignment w:val="auto"/>
      </w:pPr>
      <w:r>
        <w:rPr>
          <w:rFonts w:hint="default" w:ascii="Times New Roman" w:hAnsi="Times New Roman" w:eastAsia="方正仿宋_GBK" w:cs="Times New Roman"/>
          <w:kern w:val="2"/>
          <w:sz w:val="32"/>
          <w:szCs w:val="32"/>
          <w:lang w:val="en-US" w:eastAsia="zh-CN" w:bidi="ar-SA"/>
        </w:rPr>
        <w:t>云南麒麟产业园区越州化工园区</w:t>
      </w:r>
      <w:r>
        <w:rPr>
          <w:rFonts w:hint="eastAsia" w:ascii="Times New Roman" w:hAnsi="Times New Roman" w:eastAsia="方正仿宋_GBK" w:cs="Times New Roman"/>
          <w:kern w:val="2"/>
          <w:sz w:val="32"/>
          <w:szCs w:val="32"/>
          <w:lang w:val="en-US" w:eastAsia="zh-CN" w:bidi="ar-SA"/>
        </w:rPr>
        <w:t>原</w:t>
      </w:r>
      <w:r>
        <w:rPr>
          <w:rFonts w:hint="default" w:ascii="Times New Roman" w:hAnsi="Times New Roman" w:eastAsia="方正仿宋_GBK" w:cs="Times New Roman"/>
          <w:kern w:val="2"/>
          <w:sz w:val="32"/>
          <w:szCs w:val="32"/>
          <w:lang w:val="en-US" w:eastAsia="zh-CN" w:bidi="ar-SA"/>
        </w:rPr>
        <w:t>周边土地规划安全控制线示意图</w:t>
      </w:r>
    </w:p>
    <w:p w14:paraId="4CBA415F">
      <w:pPr>
        <w:pStyle w:val="2"/>
        <w:ind w:left="0" w:leftChars="0" w:firstLine="0" w:firstLineChars="0"/>
      </w:pPr>
    </w:p>
    <w:p w14:paraId="27899A26">
      <w:pPr>
        <w:pStyle w:val="2"/>
        <w:ind w:left="0" w:leftChars="0" w:firstLine="0" w:firstLineChars="0"/>
      </w:pPr>
    </w:p>
    <w:p w14:paraId="65EAC266">
      <w:pPr>
        <w:pStyle w:val="2"/>
        <w:ind w:left="0" w:leftChars="0" w:firstLine="0" w:firstLineChars="0"/>
      </w:pPr>
    </w:p>
    <w:p w14:paraId="54DAFEB1">
      <w:pPr>
        <w:pStyle w:val="2"/>
        <w:ind w:left="0" w:leftChars="0" w:firstLine="0" w:firstLineChars="0"/>
      </w:pPr>
    </w:p>
    <w:p w14:paraId="7DF3E9BA">
      <w:pPr>
        <w:pStyle w:val="2"/>
        <w:ind w:left="0" w:leftChars="0" w:firstLine="0" w:firstLineChars="0"/>
      </w:pPr>
    </w:p>
    <w:p w14:paraId="6F89DA67">
      <w:pPr>
        <w:pStyle w:val="2"/>
        <w:ind w:left="0" w:leftChars="0" w:firstLine="0" w:firstLineChars="0"/>
      </w:pPr>
    </w:p>
    <w:p w14:paraId="54EE1EB5">
      <w:pPr>
        <w:pStyle w:val="2"/>
        <w:ind w:left="0" w:leftChars="0" w:firstLine="0" w:firstLineChars="0"/>
      </w:pPr>
    </w:p>
    <w:p w14:paraId="53459F95">
      <w:pPr>
        <w:pStyle w:val="2"/>
        <w:ind w:left="0" w:leftChars="0" w:firstLine="0" w:firstLineChars="0"/>
      </w:pPr>
    </w:p>
    <w:p w14:paraId="4AEC6DE3">
      <w:pPr>
        <w:pStyle w:val="2"/>
        <w:ind w:left="0" w:leftChars="0" w:firstLine="0" w:firstLineChars="0"/>
      </w:pPr>
    </w:p>
    <w:p w14:paraId="3EC33395">
      <w:pPr>
        <w:pStyle w:val="2"/>
        <w:ind w:left="0" w:leftChars="0" w:firstLine="0" w:firstLineChars="0"/>
      </w:pPr>
    </w:p>
    <w:p w14:paraId="08D7123C">
      <w:pPr>
        <w:pStyle w:val="2"/>
        <w:ind w:left="0" w:leftChars="0" w:firstLine="0" w:firstLineChars="0"/>
      </w:pPr>
    </w:p>
    <w:p w14:paraId="0ECE4DFE">
      <w:pPr>
        <w:pStyle w:val="2"/>
        <w:ind w:left="0" w:leftChars="0" w:firstLine="0" w:firstLineChars="0"/>
      </w:pPr>
    </w:p>
    <w:p w14:paraId="07D96BF2">
      <w:pPr>
        <w:pStyle w:val="2"/>
        <w:ind w:left="0" w:leftChars="0" w:firstLine="0" w:firstLineChars="0"/>
      </w:pPr>
    </w:p>
    <w:p w14:paraId="466E9DA3">
      <w:pPr>
        <w:pStyle w:val="2"/>
        <w:ind w:left="0" w:leftChars="0" w:firstLine="0" w:firstLineChars="0"/>
      </w:pPr>
    </w:p>
    <w:p w14:paraId="6F1D07C5">
      <w:pPr>
        <w:pStyle w:val="2"/>
        <w:ind w:left="0" w:leftChars="0" w:firstLine="0" w:firstLineChars="0"/>
      </w:pPr>
    </w:p>
    <w:p w14:paraId="0BA175A0">
      <w:pPr>
        <w:pStyle w:val="2"/>
        <w:ind w:left="0" w:leftChars="0" w:firstLine="0" w:firstLineChars="0"/>
      </w:pPr>
    </w:p>
    <w:p w14:paraId="36B7020F">
      <w:pPr>
        <w:pStyle w:val="2"/>
        <w:ind w:left="0" w:leftChars="0" w:firstLine="0" w:firstLineChars="0"/>
      </w:pPr>
    </w:p>
    <w:p w14:paraId="1449D1FF">
      <w:pPr>
        <w:pStyle w:val="2"/>
        <w:ind w:left="0" w:leftChars="0" w:firstLine="0" w:firstLineChars="0"/>
      </w:pPr>
    </w:p>
    <w:p w14:paraId="16FB2BCC">
      <w:pPr>
        <w:pStyle w:val="2"/>
        <w:ind w:left="0" w:leftChars="0" w:firstLine="0" w:firstLineChars="0"/>
      </w:pPr>
    </w:p>
    <w:p w14:paraId="7AF81C22">
      <w:pPr>
        <w:pStyle w:val="10"/>
        <w:keepNext w:val="0"/>
        <w:keepLines w:val="0"/>
        <w:pageBreakBefore w:val="0"/>
        <w:widowControl/>
        <w:numPr>
          <w:ilvl w:val="0"/>
          <w:numId w:val="0"/>
        </w:numPr>
        <w:kinsoku/>
        <w:wordWrap/>
        <w:overflowPunct w:val="0"/>
        <w:topLinePunct/>
        <w:autoSpaceDE/>
        <w:autoSpaceDN/>
        <w:bidi w:val="0"/>
        <w:adjustRightInd w:val="0"/>
        <w:snapToGrid w:val="0"/>
        <w:spacing w:line="600" w:lineRule="exact"/>
        <w:ind w:right="0" w:rightChars="0"/>
        <w:textAlignment w:val="baseline"/>
      </w:pPr>
      <w:r>
        <w:rPr>
          <w:rFonts w:hint="eastAsia" w:ascii="Times New Roman" w:hAnsi="Times New Roman" w:eastAsia="方正仿宋_GBK" w:cs="Times New Roman"/>
          <w:b/>
          <w:bCs/>
          <w:kern w:val="2"/>
          <w:sz w:val="32"/>
          <w:szCs w:val="32"/>
          <w:lang w:val="en-US" w:eastAsia="zh-CN" w:bidi="ar-SA"/>
        </w:rPr>
        <w:t>附件2</w:t>
      </w:r>
    </w:p>
    <w:p w14:paraId="5C6BD0AC">
      <w:pPr>
        <w:pStyle w:val="2"/>
        <w:ind w:left="0" w:leftChars="0" w:firstLine="0" w:firstLineChars="0"/>
      </w:pPr>
      <w:r>
        <w:drawing>
          <wp:inline distT="0" distB="0" distL="114300" distR="114300">
            <wp:extent cx="5271135" cy="4325620"/>
            <wp:effectExtent l="0" t="0" r="5715" b="1778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5271135" cy="4325620"/>
                    </a:xfrm>
                    <a:prstGeom prst="rect">
                      <a:avLst/>
                    </a:prstGeom>
                    <a:noFill/>
                    <a:ln>
                      <a:noFill/>
                    </a:ln>
                  </pic:spPr>
                </pic:pic>
              </a:graphicData>
            </a:graphic>
          </wp:inline>
        </w:drawing>
      </w:r>
    </w:p>
    <w:p w14:paraId="211EC3A9">
      <w:pPr>
        <w:pStyle w:val="2"/>
        <w:ind w:left="0" w:leftChars="0" w:firstLine="0" w:firstLineChars="0"/>
      </w:pPr>
      <w:r>
        <w:rPr>
          <w:rFonts w:hint="default" w:ascii="Times New Roman" w:hAnsi="Times New Roman" w:eastAsia="方正仿宋_GBK" w:cs="Times New Roman"/>
          <w:kern w:val="2"/>
          <w:sz w:val="32"/>
          <w:szCs w:val="32"/>
          <w:lang w:val="en-US" w:eastAsia="zh-CN" w:bidi="ar-SA"/>
        </w:rPr>
        <w:t>云南麒麟产业园区越州化工园区</w:t>
      </w:r>
      <w:r>
        <w:rPr>
          <w:rFonts w:hint="eastAsia" w:ascii="Times New Roman" w:hAnsi="Times New Roman" w:eastAsia="方正仿宋_GBK" w:cs="Times New Roman"/>
          <w:kern w:val="2"/>
          <w:sz w:val="32"/>
          <w:szCs w:val="32"/>
          <w:lang w:val="en-US" w:eastAsia="zh-CN" w:bidi="ar-SA"/>
        </w:rPr>
        <w:t>现</w:t>
      </w:r>
      <w:r>
        <w:rPr>
          <w:rFonts w:hint="default" w:ascii="Times New Roman" w:hAnsi="Times New Roman" w:eastAsia="方正仿宋_GBK" w:cs="Times New Roman"/>
          <w:kern w:val="2"/>
          <w:sz w:val="32"/>
          <w:szCs w:val="32"/>
          <w:lang w:val="en-US" w:eastAsia="zh-CN" w:bidi="ar-SA"/>
        </w:rPr>
        <w:t>周边土地规划安全控制线示</w:t>
      </w:r>
      <w:bookmarkStart w:id="0" w:name="_GoBack"/>
      <w:bookmarkEnd w:id="0"/>
      <w:r>
        <w:rPr>
          <w:rFonts w:hint="default" w:ascii="Times New Roman" w:hAnsi="Times New Roman" w:eastAsia="方正仿宋_GBK" w:cs="Times New Roman"/>
          <w:kern w:val="2"/>
          <w:sz w:val="32"/>
          <w:szCs w:val="32"/>
          <w:lang w:val="en-US" w:eastAsia="zh-CN" w:bidi="ar-SA"/>
        </w:rPr>
        <w:t>意图</w:t>
      </w:r>
    </w:p>
    <w:p w14:paraId="676D0E48">
      <w:pPr>
        <w:pStyle w:val="2"/>
        <w:ind w:left="0" w:leftChars="0" w:firstLine="0" w:firstLineChars="0"/>
        <w:rPr>
          <w:rFonts w:hint="eastAsia"/>
          <w:lang w:val="en-US" w:eastAsia="zh-CN"/>
        </w:rPr>
      </w:pPr>
    </w:p>
    <w:p w14:paraId="43C695F9">
      <w:pPr>
        <w:spacing w:line="248" w:lineRule="auto"/>
        <w:rPr>
          <w:rFonts w:ascii="Arial"/>
          <w:sz w:val="21"/>
        </w:rPr>
      </w:pPr>
    </w:p>
    <w:p w14:paraId="343F2BB0">
      <w:pPr>
        <w:spacing w:line="248" w:lineRule="auto"/>
        <w:rPr>
          <w:rFonts w:ascii="Arial"/>
          <w:sz w:val="21"/>
        </w:rPr>
      </w:pPr>
    </w:p>
    <w:p w14:paraId="38CD334D">
      <w:pPr>
        <w:spacing w:line="248" w:lineRule="auto"/>
        <w:rPr>
          <w:rFonts w:ascii="Arial"/>
          <w:sz w:val="21"/>
        </w:rPr>
      </w:pPr>
    </w:p>
    <w:p w14:paraId="64E7FFF8">
      <w:pPr>
        <w:spacing w:line="248" w:lineRule="auto"/>
        <w:rPr>
          <w:rFonts w:ascii="Arial"/>
          <w:sz w:val="21"/>
        </w:rPr>
      </w:pPr>
    </w:p>
    <w:p w14:paraId="60326623">
      <w:pPr>
        <w:spacing w:line="248" w:lineRule="auto"/>
        <w:rPr>
          <w:rFonts w:ascii="Arial"/>
          <w:sz w:val="21"/>
        </w:rPr>
      </w:pPr>
    </w:p>
    <w:p w14:paraId="07B4D97A">
      <w:pPr>
        <w:spacing w:line="248" w:lineRule="auto"/>
        <w:rPr>
          <w:rFonts w:ascii="Arial"/>
          <w:sz w:val="21"/>
        </w:rPr>
      </w:pPr>
    </w:p>
    <w:p w14:paraId="0FB32F43">
      <w:pPr>
        <w:spacing w:line="248" w:lineRule="auto"/>
        <w:rPr>
          <w:rFonts w:ascii="Arial"/>
          <w:sz w:val="21"/>
        </w:rPr>
      </w:pPr>
    </w:p>
    <w:p w14:paraId="4BECE99B">
      <w:pPr>
        <w:rPr>
          <w:rFonts w:ascii="Arial"/>
          <w:sz w:val="21"/>
        </w:rPr>
      </w:pPr>
    </w:p>
    <w:p w14:paraId="38882872">
      <w:pPr>
        <w:pStyle w:val="25"/>
        <w:spacing w:line="600" w:lineRule="exact"/>
        <w:ind w:firstLine="0" w:firstLineChars="0"/>
        <w:rPr>
          <w:rFonts w:hint="default" w:ascii="Times New Roman" w:hAnsi="Times New Roman" w:eastAsia="方正仿宋简体" w:cs="Times New Roman"/>
          <w:sz w:val="32"/>
          <w:szCs w:val="32"/>
          <w:lang w:val="en-US" w:eastAsia="zh-CN"/>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ABF2E80-FD1B-4362-97AE-2302ADDCDE97}"/>
  </w:font>
  <w:font w:name="黑体">
    <w:panose1 w:val="02010609060101010101"/>
    <w:charset w:val="86"/>
    <w:family w:val="auto"/>
    <w:pitch w:val="default"/>
    <w:sig w:usb0="800002BF" w:usb1="38CF7CFA" w:usb2="00000016" w:usb3="00000000" w:csb0="00040001" w:csb1="00000000"/>
    <w:embedRegular r:id="rId2" w:fontKey="{251B144A-0AC8-4735-B6BD-F8E26A3C3FA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仿宋简体">
    <w:panose1 w:val="02000000000000000000"/>
    <w:charset w:val="86"/>
    <w:family w:val="auto"/>
    <w:pitch w:val="default"/>
    <w:sig w:usb0="A00002BF" w:usb1="184F6CFA" w:usb2="00000012" w:usb3="00000000" w:csb0="00040001" w:csb1="00000000"/>
    <w:embedRegular r:id="rId3" w:fontKey="{1AD1D93F-09AA-428E-9424-2301CBCBE42C}"/>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embedRegular r:id="rId4" w:fontKey="{1FD1EDA7-37BC-4804-8518-9015F6A95DCA}"/>
  </w:font>
  <w:font w:name="方正小标宋_GBK">
    <w:panose1 w:val="03000509000000000000"/>
    <w:charset w:val="86"/>
    <w:family w:val="script"/>
    <w:pitch w:val="default"/>
    <w:sig w:usb0="00000001" w:usb1="080E0000" w:usb2="00000000" w:usb3="00000000" w:csb0="00040000" w:csb1="00000000"/>
    <w:embedRegular r:id="rId5" w:fontKey="{46E2E831-B460-4D1F-8830-A335D58014B6}"/>
  </w:font>
  <w:font w:name="方正楷体_GBK">
    <w:panose1 w:val="03000509000000000000"/>
    <w:charset w:val="86"/>
    <w:family w:val="auto"/>
    <w:pitch w:val="default"/>
    <w:sig w:usb0="00000001" w:usb1="080E0000" w:usb2="00000000" w:usb3="00000000" w:csb0="00040000" w:csb1="00000000"/>
    <w:embedRegular r:id="rId6" w:fontKey="{CF11A24D-48D4-491D-82F4-7E1D9204D598}"/>
  </w:font>
  <w:font w:name="方正仿宋_GBK">
    <w:panose1 w:val="03000509000000000000"/>
    <w:charset w:val="86"/>
    <w:family w:val="auto"/>
    <w:pitch w:val="default"/>
    <w:sig w:usb0="00000001" w:usb1="080E0000" w:usb2="00000000" w:usb3="00000000" w:csb0="00040000" w:csb1="00000000"/>
    <w:embedRegular r:id="rId7" w:fontKey="{70D996BF-EBD9-4F9F-B6B4-61BE6E5140E7}"/>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3B808">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8641E">
                          <w:pPr>
                            <w:pStyle w:val="1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DA8641E">
                    <w:pPr>
                      <w:pStyle w:val="1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B37C9">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210998">
                          <w:pPr>
                            <w:pStyle w:val="1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3</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210998">
                    <w:pPr>
                      <w:pStyle w:val="1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3</w:t>
                    </w:r>
                    <w:r>
                      <w:rPr>
                        <w:sz w:val="21"/>
                        <w:szCs w:val="21"/>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4OTkwYTcxOTIyNTgyYTNkN2IzYWVlZWMwNGU4ZWYifQ=="/>
    <w:docVar w:name="KSO_WPS_MARK_KEY" w:val="b994cf92-a4d1-4a85-9a36-f412e0af7ec0"/>
  </w:docVars>
  <w:rsids>
    <w:rsidRoot w:val="412B7492"/>
    <w:rsid w:val="00371EE5"/>
    <w:rsid w:val="01B855B1"/>
    <w:rsid w:val="097F6C49"/>
    <w:rsid w:val="0B681004"/>
    <w:rsid w:val="0B8E1C0B"/>
    <w:rsid w:val="12C62450"/>
    <w:rsid w:val="14D222E9"/>
    <w:rsid w:val="168215B3"/>
    <w:rsid w:val="19587DCB"/>
    <w:rsid w:val="1A7F488B"/>
    <w:rsid w:val="1B2B23C3"/>
    <w:rsid w:val="1C4952BB"/>
    <w:rsid w:val="1E995EC9"/>
    <w:rsid w:val="1F187A41"/>
    <w:rsid w:val="258C0A7D"/>
    <w:rsid w:val="276321B3"/>
    <w:rsid w:val="2DDB789B"/>
    <w:rsid w:val="309D33A0"/>
    <w:rsid w:val="383416EB"/>
    <w:rsid w:val="388648A3"/>
    <w:rsid w:val="389867B0"/>
    <w:rsid w:val="39F91F11"/>
    <w:rsid w:val="3E261EFC"/>
    <w:rsid w:val="3F421E91"/>
    <w:rsid w:val="3F4D2210"/>
    <w:rsid w:val="412B7492"/>
    <w:rsid w:val="415A06EE"/>
    <w:rsid w:val="48887FAB"/>
    <w:rsid w:val="49D5410F"/>
    <w:rsid w:val="4A71489A"/>
    <w:rsid w:val="4A7E738A"/>
    <w:rsid w:val="4C942CF8"/>
    <w:rsid w:val="4D194FE9"/>
    <w:rsid w:val="564B3179"/>
    <w:rsid w:val="57DF5576"/>
    <w:rsid w:val="5C5F5583"/>
    <w:rsid w:val="5CD40983"/>
    <w:rsid w:val="5DA46028"/>
    <w:rsid w:val="5E8343A9"/>
    <w:rsid w:val="5EF454BD"/>
    <w:rsid w:val="5F1940F6"/>
    <w:rsid w:val="5FAA0D00"/>
    <w:rsid w:val="607D3091"/>
    <w:rsid w:val="68CA1E99"/>
    <w:rsid w:val="6BBB3969"/>
    <w:rsid w:val="6C336098"/>
    <w:rsid w:val="6C504F58"/>
    <w:rsid w:val="6C84795A"/>
    <w:rsid w:val="6F1A5393"/>
    <w:rsid w:val="6F4162E7"/>
    <w:rsid w:val="7014798C"/>
    <w:rsid w:val="703D357C"/>
    <w:rsid w:val="72907898"/>
    <w:rsid w:val="73C0408F"/>
    <w:rsid w:val="77595369"/>
    <w:rsid w:val="78636E47"/>
    <w:rsid w:val="7A084B59"/>
    <w:rsid w:val="7DED50DA"/>
    <w:rsid w:val="7E4B40C2"/>
    <w:rsid w:val="7E631D6D"/>
    <w:rsid w:val="7E8740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5">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6">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7">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8">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正文首行缩进 21"/>
    <w:basedOn w:val="3"/>
    <w:qFormat/>
    <w:uiPriority w:val="0"/>
    <w:pPr>
      <w:ind w:firstLine="200" w:firstLineChars="200"/>
    </w:pPr>
    <w:rPr>
      <w:rFonts w:ascii="Calibri" w:hAnsi="Calibri"/>
    </w:rPr>
  </w:style>
  <w:style w:type="paragraph" w:customStyle="1" w:styleId="3">
    <w:name w:val="正文文本缩进1"/>
    <w:basedOn w:val="1"/>
    <w:next w:val="4"/>
    <w:qFormat/>
    <w:uiPriority w:val="0"/>
    <w:pPr>
      <w:ind w:left="200" w:leftChars="200"/>
    </w:pPr>
  </w:style>
  <w:style w:type="paragraph" w:customStyle="1" w:styleId="4">
    <w:name w:val="正文缩进1"/>
    <w:basedOn w:val="1"/>
    <w:qFormat/>
    <w:uiPriority w:val="0"/>
    <w:pPr>
      <w:ind w:firstLine="200" w:firstLineChars="200"/>
    </w:pPr>
    <w:rPr>
      <w:rFonts w:eastAsia="仿宋"/>
      <w:sz w:val="32"/>
    </w:rPr>
  </w:style>
  <w:style w:type="paragraph" w:styleId="9">
    <w:name w:val="Normal Indent"/>
    <w:basedOn w:val="1"/>
    <w:next w:val="1"/>
    <w:qFormat/>
    <w:uiPriority w:val="0"/>
    <w:pPr>
      <w:ind w:firstLine="420"/>
    </w:pPr>
  </w:style>
  <w:style w:type="paragraph" w:styleId="10">
    <w:name w:val="Body Text"/>
    <w:basedOn w:val="1"/>
    <w:qFormat/>
    <w:uiPriority w:val="0"/>
    <w:rPr>
      <w:rFonts w:eastAsia="方正仿宋简体"/>
      <w:sz w:val="32"/>
    </w:rPr>
  </w:style>
  <w:style w:type="paragraph" w:styleId="11">
    <w:name w:val="Body Text Indent"/>
    <w:basedOn w:val="1"/>
    <w:unhideWhenUsed/>
    <w:qFormat/>
    <w:uiPriority w:val="99"/>
    <w:pPr>
      <w:spacing w:after="120"/>
      <w:ind w:left="420" w:leftChars="200"/>
    </w:pPr>
  </w:style>
  <w:style w:type="paragraph" w:styleId="12">
    <w:name w:val="toc 5"/>
    <w:next w:val="1"/>
    <w:qFormat/>
    <w:uiPriority w:val="0"/>
    <w:pPr>
      <w:widowControl w:val="0"/>
      <w:ind w:left="1680"/>
      <w:jc w:val="both"/>
    </w:pPr>
    <w:rPr>
      <w:rFonts w:ascii="Calibri" w:hAnsi="Calibri" w:eastAsia="宋体" w:cs="Times New Roman"/>
      <w:kern w:val="2"/>
      <w:sz w:val="21"/>
      <w:szCs w:val="24"/>
      <w:lang w:val="en-US" w:eastAsia="zh-CN" w:bidi="ar-SA"/>
    </w:rPr>
  </w:style>
  <w:style w:type="paragraph" w:styleId="13">
    <w:name w:val="Plain Text"/>
    <w:basedOn w:val="1"/>
    <w:next w:val="1"/>
    <w:qFormat/>
    <w:uiPriority w:val="0"/>
    <w:rPr>
      <w:rFonts w:hint="eastAsia" w:ascii="宋体" w:hAnsi="Courier New" w:eastAsia="宋体" w:cs="Times New Roman"/>
      <w:szCs w:val="21"/>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Message Header"/>
    <w:basedOn w:val="1"/>
    <w:next w:val="10"/>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1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8">
    <w:name w:val="Body Text First Indent 2"/>
    <w:basedOn w:val="11"/>
    <w:next w:val="1"/>
    <w:unhideWhenUsed/>
    <w:qFormat/>
    <w:uiPriority w:val="99"/>
    <w:pPr>
      <w:ind w:firstLine="420" w:firstLineChars="200"/>
    </w:pPr>
  </w:style>
  <w:style w:type="table" w:styleId="20">
    <w:name w:val="Table Grid"/>
    <w:basedOn w:val="19"/>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Emphasis"/>
    <w:basedOn w:val="21"/>
    <w:qFormat/>
    <w:uiPriority w:val="0"/>
    <w:rPr>
      <w:i/>
    </w:rPr>
  </w:style>
  <w:style w:type="character" w:styleId="24">
    <w:name w:val="Hyperlink"/>
    <w:basedOn w:val="21"/>
    <w:qFormat/>
    <w:uiPriority w:val="0"/>
    <w:rPr>
      <w:color w:val="0000FF"/>
      <w:u w:val="single"/>
    </w:rPr>
  </w:style>
  <w:style w:type="paragraph" w:customStyle="1" w:styleId="25">
    <w:name w:val="列出段落1"/>
    <w:basedOn w:val="1"/>
    <w:unhideWhenUsed/>
    <w:qFormat/>
    <w:uiPriority w:val="99"/>
    <w:pPr>
      <w:ind w:firstLine="420" w:firstLineChars="200"/>
    </w:pPr>
  </w:style>
  <w:style w:type="paragraph" w:customStyle="1" w:styleId="26">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27">
    <w:name w:val="普通(网站)1"/>
    <w:basedOn w:val="1"/>
    <w:qFormat/>
    <w:uiPriority w:val="0"/>
    <w:pPr>
      <w:spacing w:before="100" w:beforeAutospacing="1" w:after="100" w:afterAutospacing="1"/>
      <w:jc w:val="left"/>
    </w:pPr>
    <w:rPr>
      <w:rFonts w:ascii="宋体" w:hAnsi="宋体"/>
      <w:kern w:val="0"/>
      <w:sz w:val="24"/>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479</Words>
  <Characters>502</Characters>
  <Lines>0</Lines>
  <Paragraphs>0</Paragraphs>
  <TotalTime>1</TotalTime>
  <ScaleCrop>false</ScaleCrop>
  <LinksUpToDate>false</LinksUpToDate>
  <CharactersWithSpaces>503</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2022-11-07T10:02:00Z</dcterms:created>
  <dc:creator>波波</dc:creator>
  <cp:lastModifiedBy>丁海山</cp:lastModifiedBy>
  <cp:lastPrinted>2023-06-13T01:41:00Z</cp:lastPrinted>
  <dcterms:modified xsi:type="dcterms:W3CDTF">2025-07-31T02:20:12Z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B8E1DA158EFA45C9827EC4ADD39E1A99_13</vt:lpwstr>
  </property>
</Properties>
</file>